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A8D1">
      <w:pPr>
        <w:tabs>
          <w:tab w:val="right" w:pos="9524"/>
        </w:tabs>
        <w:spacing w:line="360" w:lineRule="exact"/>
        <w:jc w:val="center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用户需求书</w:t>
      </w:r>
    </w:p>
    <w:p w14:paraId="2074B903">
      <w:pPr>
        <w:tabs>
          <w:tab w:val="right" w:pos="9524"/>
        </w:tabs>
        <w:adjustRightInd w:val="0"/>
        <w:ind w:firstLine="482" w:firstLineChars="200"/>
        <w:rPr>
          <w:b/>
          <w:sz w:val="24"/>
          <w:szCs w:val="24"/>
        </w:rPr>
      </w:pPr>
    </w:p>
    <w:p w14:paraId="486A2A1E">
      <w:pPr>
        <w:tabs>
          <w:tab w:val="right" w:pos="9524"/>
        </w:tabs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bookmarkStart w:id="0" w:name="OLE_LINK16"/>
      <w:r>
        <w:rPr>
          <w:rFonts w:hint="eastAsia"/>
          <w:b/>
          <w:sz w:val="24"/>
          <w:szCs w:val="24"/>
        </w:rPr>
        <w:t>、项目概况</w:t>
      </w:r>
    </w:p>
    <w:p w14:paraId="6C07BCE4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（一）项目名称：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 w:bidi="ar"/>
        </w:rPr>
        <w:t>高层次人才引进科研项目（岭南膳食模式研究与转化）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项</w:t>
      </w:r>
      <w:r>
        <w:rPr>
          <w:rFonts w:hint="eastAsia" w:ascii="仿宋_GB2312" w:hAnsi="仿宋_GB2312" w:eastAsia="仿宋_GB2312" w:cs="仿宋_GB2312"/>
          <w:sz w:val="24"/>
          <w:szCs w:val="24"/>
        </w:rPr>
        <w:t>目</w:t>
      </w:r>
    </w:p>
    <w:p w14:paraId="260CD951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（二）项目预算：52.75万元</w:t>
      </w:r>
    </w:p>
    <w:bookmarkEnd w:id="0"/>
    <w:p w14:paraId="6897E9DC">
      <w:pPr>
        <w:tabs>
          <w:tab w:val="right" w:pos="9524"/>
        </w:tabs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二、技术参数与要求</w:t>
      </w:r>
    </w:p>
    <w:p w14:paraId="57CB1271">
      <w:pPr>
        <w:numPr>
          <w:ilvl w:val="0"/>
          <w:numId w:val="1"/>
        </w:numPr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供应商基本资质要求：</w:t>
      </w:r>
    </w:p>
    <w:p w14:paraId="4126B7B0">
      <w:pPr>
        <w:pStyle w:val="16"/>
        <w:numPr>
          <w:ilvl w:val="0"/>
          <w:numId w:val="2"/>
        </w:numPr>
        <w:adjustRightInd w:val="0"/>
        <w:spacing w:line="360" w:lineRule="auto"/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具备合法有效的《营业执照》；</w:t>
      </w:r>
    </w:p>
    <w:p w14:paraId="34ECD575">
      <w:pPr>
        <w:pStyle w:val="16"/>
        <w:numPr>
          <w:ilvl w:val="0"/>
          <w:numId w:val="2"/>
        </w:numPr>
        <w:adjustRightInd w:val="0"/>
        <w:spacing w:line="360" w:lineRule="auto"/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具备合法有效的《食品经营许可证》；</w:t>
      </w:r>
    </w:p>
    <w:p w14:paraId="66751D07">
      <w:pPr>
        <w:pStyle w:val="16"/>
        <w:numPr>
          <w:ilvl w:val="0"/>
          <w:numId w:val="2"/>
        </w:numPr>
        <w:adjustRightInd w:val="0"/>
        <w:spacing w:line="360" w:lineRule="auto"/>
        <w:ind w:firstLineChars="0"/>
        <w:rPr>
          <w:b/>
          <w:sz w:val="24"/>
          <w:szCs w:val="24"/>
        </w:rPr>
      </w:pPr>
      <w:r>
        <w:rPr>
          <w:b/>
          <w:sz w:val="24"/>
          <w:szCs w:val="24"/>
        </w:rPr>
        <w:t>上述《食品经营许可证》的许可项目中，须明确包含“集体用餐配送”或“集体供餐配送”或“学生营养餐配送”等能涵盖本项目集体配餐服务的相应许可范围。</w:t>
      </w:r>
    </w:p>
    <w:p w14:paraId="77E12724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总供餐量：60人×3餐/天×52天=9360餐次；</w:t>
      </w:r>
    </w:p>
    <w:p w14:paraId="0F984755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菜品设计原则</w:t>
      </w:r>
    </w:p>
    <w:p w14:paraId="5AD95FDB"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每日食物种类≥12种、所有食物摄入量均基于每日每1000千卡（kcal）能量需求的比例标准：深色蔬菜占比≥50%（蔬菜总量≥205 g/1000 kcal）、新鲜水果≥130 g/1000 kcal、</w:t>
      </w:r>
      <w:bookmarkStart w:id="1" w:name="OLE_LINK7"/>
      <w:r>
        <w:rPr>
          <w:rFonts w:hint="eastAsia"/>
          <w:sz w:val="24"/>
          <w:szCs w:val="24"/>
        </w:rPr>
        <w:t>白肉占肉类摄入≥50%（肉类总量约为78 g/1000 kcal）</w:t>
      </w:r>
      <w:bookmarkEnd w:id="1"/>
      <w:r>
        <w:rPr>
          <w:rFonts w:hint="eastAsia"/>
          <w:sz w:val="24"/>
          <w:szCs w:val="24"/>
        </w:rPr>
        <w:t>、</w:t>
      </w:r>
      <w:bookmarkStart w:id="2" w:name="OLE_LINK5"/>
      <w:r>
        <w:rPr>
          <w:rFonts w:hint="eastAsia"/>
          <w:sz w:val="24"/>
          <w:szCs w:val="24"/>
        </w:rPr>
        <w:t>全谷杂豆47 g</w:t>
      </w:r>
      <w:bookmarkEnd w:id="2"/>
      <w:r>
        <w:rPr>
          <w:rFonts w:hint="eastAsia"/>
          <w:sz w:val="24"/>
          <w:szCs w:val="24"/>
        </w:rPr>
        <w:t>/1000 kcal、并严格控制油盐摄入（食用油15 g/</w:t>
      </w:r>
      <w:r>
        <w:rPr>
          <w:rFonts w:hint="eastAsia"/>
          <w:sz w:val="22"/>
          <w:szCs w:val="22"/>
        </w:rPr>
        <w:t>1000 kcal</w:t>
      </w:r>
      <w:r>
        <w:rPr>
          <w:rFonts w:hint="eastAsia"/>
          <w:sz w:val="24"/>
          <w:szCs w:val="24"/>
        </w:rPr>
        <w:t>，盐&lt;5 g/天）。所有食材要求足够新鲜，果蔬选用新鲜应季食材，烹调以蒸、煮、炖和快炒为主、每日供含食药物质的汤，核心营养指标见表1。</w:t>
      </w:r>
    </w:p>
    <w:p w14:paraId="6D4A4C46">
      <w:pPr>
        <w:adjustRightInd w:val="0"/>
        <w:spacing w:line="360" w:lineRule="auto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表1 核心营养指标</w:t>
      </w:r>
    </w:p>
    <w:tbl>
      <w:tblPr>
        <w:tblStyle w:val="9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006"/>
        <w:gridCol w:w="3400"/>
      </w:tblGrid>
      <w:tr w14:paraId="0DD7DA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  <w:jc w:val="center"/>
        </w:trPr>
        <w:tc>
          <w:tcPr>
            <w:tcW w:w="2116" w:type="dxa"/>
            <w:tcBorders>
              <w:top w:val="single" w:color="auto" w:sz="8" w:space="0"/>
              <w:bottom w:val="single" w:color="auto" w:sz="8" w:space="0"/>
            </w:tcBorders>
          </w:tcPr>
          <w:p w14:paraId="23510C50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类别</w:t>
            </w:r>
          </w:p>
        </w:tc>
        <w:tc>
          <w:tcPr>
            <w:tcW w:w="3006" w:type="dxa"/>
            <w:tcBorders>
              <w:top w:val="single" w:color="auto" w:sz="8" w:space="0"/>
              <w:bottom w:val="single" w:color="auto" w:sz="8" w:space="0"/>
            </w:tcBorders>
          </w:tcPr>
          <w:p w14:paraId="72E6F123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标准值</w:t>
            </w:r>
          </w:p>
        </w:tc>
        <w:tc>
          <w:tcPr>
            <w:tcW w:w="3400" w:type="dxa"/>
            <w:tcBorders>
              <w:top w:val="single" w:color="auto" w:sz="8" w:space="0"/>
              <w:bottom w:val="single" w:color="auto" w:sz="8" w:space="0"/>
            </w:tcBorders>
          </w:tcPr>
          <w:p w14:paraId="0423C945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具体要求/说明</w:t>
            </w:r>
          </w:p>
        </w:tc>
      </w:tr>
      <w:tr w14:paraId="7783E0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  <w:tcBorders>
              <w:top w:val="single" w:color="auto" w:sz="8" w:space="0"/>
            </w:tcBorders>
          </w:tcPr>
          <w:p w14:paraId="2C8A7A67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能量摄入</w:t>
            </w:r>
          </w:p>
        </w:tc>
        <w:tc>
          <w:tcPr>
            <w:tcW w:w="3006" w:type="dxa"/>
            <w:tcBorders>
              <w:top w:val="single" w:color="auto" w:sz="8" w:space="0"/>
            </w:tcBorders>
          </w:tcPr>
          <w:p w14:paraId="203A520D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男性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 kcal/d</w:t>
            </w:r>
            <w:r>
              <w:rPr>
                <w:rFonts w:hint="eastAsia"/>
                <w:sz w:val="22"/>
                <w:szCs w:val="22"/>
              </w:rPr>
              <w:t>、女性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 kcal/d</w:t>
            </w:r>
          </w:p>
        </w:tc>
        <w:tc>
          <w:tcPr>
            <w:tcW w:w="3400" w:type="dxa"/>
            <w:tcBorders>
              <w:top w:val="single" w:color="auto" w:sz="8" w:space="0"/>
            </w:tcBorders>
          </w:tcPr>
          <w:p w14:paraId="764368E4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参考中国居民膳食营养素参考摄入量2023版（以中国18-29岁成年男性/女性轻体力活动为参考）</w:t>
            </w:r>
          </w:p>
        </w:tc>
      </w:tr>
      <w:tr w14:paraId="7511E53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  <w:tcBorders>
              <w:top w:val="single" w:color="auto" w:sz="8" w:space="0"/>
              <w:bottom w:val="nil"/>
            </w:tcBorders>
          </w:tcPr>
          <w:p w14:paraId="1A659517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禽畜肉类摄入</w:t>
            </w:r>
          </w:p>
        </w:tc>
        <w:tc>
          <w:tcPr>
            <w:tcW w:w="3006" w:type="dxa"/>
            <w:tcBorders>
              <w:top w:val="single" w:color="auto" w:sz="8" w:space="0"/>
              <w:bottom w:val="nil"/>
            </w:tcBorders>
          </w:tcPr>
          <w:p w14:paraId="122A25CD">
            <w:pPr>
              <w:adjustRightInd w:val="0"/>
              <w:spacing w:line="360" w:lineRule="auto"/>
              <w:rPr>
                <w:sz w:val="22"/>
                <w:szCs w:val="22"/>
              </w:rPr>
            </w:pPr>
            <w:bookmarkStart w:id="3" w:name="OLE_LINK11"/>
            <w:r>
              <w:rPr>
                <w:rFonts w:hint="eastAsia"/>
                <w:sz w:val="22"/>
                <w:szCs w:val="22"/>
              </w:rPr>
              <w:t>28 g/1000 kcal</w:t>
            </w:r>
            <w:bookmarkEnd w:id="3"/>
          </w:p>
        </w:tc>
        <w:tc>
          <w:tcPr>
            <w:tcW w:w="3400" w:type="dxa"/>
            <w:tcBorders>
              <w:top w:val="single" w:color="auto" w:sz="8" w:space="0"/>
              <w:bottom w:val="nil"/>
            </w:tcBorders>
          </w:tcPr>
          <w:p w14:paraId="0301CCCF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白肉（含水产品）占比 ≥50%，禁止供应深加工肉制品。肉类制品需供应冰鲜（肉类摄入细则见附表1）</w:t>
            </w:r>
          </w:p>
        </w:tc>
      </w:tr>
      <w:tr w14:paraId="7A655F1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  <w:tcBorders>
              <w:top w:val="nil"/>
              <w:bottom w:val="nil"/>
            </w:tcBorders>
          </w:tcPr>
          <w:p w14:paraId="6B63885C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水产类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14:paraId="1A5F9BC7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50g/1000 kcal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14:paraId="45FF0FED">
            <w:pPr>
              <w:adjustRightInd w:val="0"/>
              <w:spacing w:line="360" w:lineRule="auto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</w:rPr>
              <w:t>以周进行评估，日均水产品摄入量超过50 g/1000 kcal（水产品摄入细则见附表1），尽量选择本地新鲜的水产品，保证食材新鲜度。</w:t>
            </w:r>
          </w:p>
        </w:tc>
      </w:tr>
      <w:tr w14:paraId="63B034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  <w:tcBorders>
              <w:top w:val="nil"/>
            </w:tcBorders>
          </w:tcPr>
          <w:p w14:paraId="1B424B4A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蛋类</w:t>
            </w:r>
          </w:p>
        </w:tc>
        <w:tc>
          <w:tcPr>
            <w:tcW w:w="3006" w:type="dxa"/>
            <w:tcBorders>
              <w:top w:val="nil"/>
            </w:tcBorders>
          </w:tcPr>
          <w:p w14:paraId="0024F825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 g /1000 kcal</w:t>
            </w:r>
          </w:p>
        </w:tc>
        <w:tc>
          <w:tcPr>
            <w:tcW w:w="3400" w:type="dxa"/>
            <w:tcBorders>
              <w:top w:val="nil"/>
            </w:tcBorders>
          </w:tcPr>
          <w:p w14:paraId="378842C2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蛋类每日摄入要求</w:t>
            </w:r>
          </w:p>
        </w:tc>
      </w:tr>
      <w:tr w14:paraId="7635C4C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16" w:type="dxa"/>
          </w:tcPr>
          <w:p w14:paraId="6BD56D42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蔬菜总量（非薯类）</w:t>
            </w:r>
          </w:p>
        </w:tc>
        <w:tc>
          <w:tcPr>
            <w:tcW w:w="3006" w:type="dxa"/>
          </w:tcPr>
          <w:p w14:paraId="6655AA43">
            <w:pPr>
              <w:adjustRightInd w:val="0"/>
              <w:spacing w:line="360" w:lineRule="auto"/>
              <w:rPr>
                <w:sz w:val="22"/>
                <w:szCs w:val="22"/>
              </w:rPr>
            </w:pPr>
            <w:bookmarkStart w:id="4" w:name="OLE_LINK9"/>
            <w:r>
              <w:rPr>
                <w:rFonts w:hint="eastAsia"/>
                <w:sz w:val="22"/>
                <w:szCs w:val="22"/>
              </w:rPr>
              <w:t>≥</w:t>
            </w:r>
            <w:bookmarkEnd w:id="4"/>
            <w:r>
              <w:rPr>
                <w:rFonts w:hint="eastAsia"/>
                <w:sz w:val="22"/>
                <w:szCs w:val="22"/>
              </w:rPr>
              <w:t>205 g/1000 kcal</w:t>
            </w:r>
          </w:p>
        </w:tc>
        <w:tc>
          <w:tcPr>
            <w:tcW w:w="3400" w:type="dxa"/>
          </w:tcPr>
          <w:p w14:paraId="11BBED13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深色蔬菜占比≥50%，且主要供应具有岭南特色的深色蔬菜（每日最少一种），一周供应品类超过7种（具体种类见附表2）</w:t>
            </w:r>
          </w:p>
        </w:tc>
      </w:tr>
      <w:tr w14:paraId="378B0B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16" w:type="dxa"/>
          </w:tcPr>
          <w:p w14:paraId="03092D3A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新鲜水果</w:t>
            </w:r>
          </w:p>
        </w:tc>
        <w:tc>
          <w:tcPr>
            <w:tcW w:w="3006" w:type="dxa"/>
          </w:tcPr>
          <w:p w14:paraId="025DE048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≥130 g</w:t>
            </w:r>
            <w:bookmarkStart w:id="5" w:name="OLE_LINK10"/>
            <w:r>
              <w:rPr>
                <w:rFonts w:hint="eastAsia"/>
                <w:sz w:val="22"/>
                <w:szCs w:val="22"/>
              </w:rPr>
              <w:t>/1000 kcal</w:t>
            </w:r>
            <w:bookmarkEnd w:id="5"/>
          </w:p>
        </w:tc>
        <w:tc>
          <w:tcPr>
            <w:tcW w:w="3400" w:type="dxa"/>
          </w:tcPr>
          <w:p w14:paraId="175E5B9C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从优选/适当/限制选择（详见附表3）</w:t>
            </w:r>
          </w:p>
        </w:tc>
      </w:tr>
      <w:tr w14:paraId="2E730B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16" w:type="dxa"/>
          </w:tcPr>
          <w:p w14:paraId="56E3C8E3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杂粮饭</w:t>
            </w:r>
          </w:p>
        </w:tc>
        <w:tc>
          <w:tcPr>
            <w:tcW w:w="3006" w:type="dxa"/>
          </w:tcPr>
          <w:p w14:paraId="514308C7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每日≥2餐</w:t>
            </w:r>
          </w:p>
        </w:tc>
        <w:tc>
          <w:tcPr>
            <w:tcW w:w="3400" w:type="dxa"/>
          </w:tcPr>
          <w:p w14:paraId="00BE6D3D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糙米、燕麦米等占比30%-40%</w:t>
            </w:r>
          </w:p>
        </w:tc>
      </w:tr>
      <w:tr w14:paraId="06D999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462E5701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全谷杂豆</w:t>
            </w:r>
          </w:p>
        </w:tc>
        <w:tc>
          <w:tcPr>
            <w:tcW w:w="3006" w:type="dxa"/>
          </w:tcPr>
          <w:p w14:paraId="290E64E5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 g/1000 kcal</w:t>
            </w:r>
          </w:p>
        </w:tc>
        <w:tc>
          <w:tcPr>
            <w:tcW w:w="3400" w:type="dxa"/>
          </w:tcPr>
          <w:p w14:paraId="24682D73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包含在杂粮饭中</w:t>
            </w:r>
          </w:p>
        </w:tc>
      </w:tr>
      <w:tr w14:paraId="2D3068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05B457C1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坚果</w:t>
            </w:r>
          </w:p>
        </w:tc>
        <w:tc>
          <w:tcPr>
            <w:tcW w:w="3006" w:type="dxa"/>
          </w:tcPr>
          <w:p w14:paraId="424AD0B5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1份/天（约10 g）</w:t>
            </w:r>
          </w:p>
        </w:tc>
        <w:tc>
          <w:tcPr>
            <w:tcW w:w="3400" w:type="dxa"/>
          </w:tcPr>
          <w:p w14:paraId="02679231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优选</w:t>
            </w:r>
            <w:r>
              <w:rPr>
                <w:rFonts w:hint="eastAsia"/>
                <w:sz w:val="22"/>
                <w:szCs w:val="22"/>
                <w:lang w:bidi="ar"/>
              </w:rPr>
              <w:t>纸皮核桃、夏威夷果、开心果、腰果、红松子等树上熟品种</w:t>
            </w:r>
          </w:p>
        </w:tc>
      </w:tr>
      <w:tr w14:paraId="1DFA45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3616C5E4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豆制品</w:t>
            </w:r>
          </w:p>
        </w:tc>
        <w:tc>
          <w:tcPr>
            <w:tcW w:w="3006" w:type="dxa"/>
          </w:tcPr>
          <w:p w14:paraId="109BAE03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 g/1000 kcal</w:t>
            </w:r>
          </w:p>
        </w:tc>
        <w:tc>
          <w:tcPr>
            <w:tcW w:w="3400" w:type="dxa"/>
          </w:tcPr>
          <w:p w14:paraId="592CCC50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如豆腐、豆浆，10 g折算为大豆干豆（豆制品转换表见附表4）</w:t>
            </w:r>
          </w:p>
        </w:tc>
      </w:tr>
      <w:tr w14:paraId="3F0078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76E80744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食用油</w:t>
            </w:r>
          </w:p>
        </w:tc>
        <w:tc>
          <w:tcPr>
            <w:tcW w:w="3006" w:type="dxa"/>
          </w:tcPr>
          <w:p w14:paraId="37357DFC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 g/1000 kcal</w:t>
            </w:r>
          </w:p>
        </w:tc>
        <w:tc>
          <w:tcPr>
            <w:tcW w:w="3400" w:type="dxa"/>
          </w:tcPr>
          <w:p w14:paraId="4AB4D4C6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每日食用油的摄入（</w:t>
            </w:r>
            <w:r>
              <w:rPr>
                <w:sz w:val="22"/>
                <w:szCs w:val="22"/>
              </w:rPr>
              <w:t>推荐使用植物油</w:t>
            </w:r>
            <w:r>
              <w:rPr>
                <w:rFonts w:hint="eastAsia"/>
                <w:sz w:val="22"/>
                <w:szCs w:val="22"/>
              </w:rPr>
              <w:t>包括</w:t>
            </w:r>
            <w:r>
              <w:rPr>
                <w:sz w:val="22"/>
                <w:szCs w:val="22"/>
              </w:rPr>
              <w:t>菜籽油、花生油、茶籽油、橄榄油等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>限制饱和脂肪</w:t>
            </w:r>
            <w:r>
              <w:rPr>
                <w:rFonts w:hint="eastAsia"/>
                <w:sz w:val="22"/>
                <w:szCs w:val="22"/>
              </w:rPr>
              <w:t>包括</w:t>
            </w:r>
            <w:r>
              <w:rPr>
                <w:sz w:val="22"/>
                <w:szCs w:val="22"/>
              </w:rPr>
              <w:t>猪油、黄油、棕榈油、椰子油</w:t>
            </w:r>
            <w:r>
              <w:rPr>
                <w:rFonts w:hint="eastAsia"/>
                <w:sz w:val="22"/>
                <w:szCs w:val="22"/>
              </w:rPr>
              <w:t>等；禁止</w:t>
            </w:r>
            <w:r>
              <w:rPr>
                <w:sz w:val="22"/>
                <w:szCs w:val="22"/>
              </w:rPr>
              <w:t>反式脂肪</w:t>
            </w:r>
            <w:r>
              <w:rPr>
                <w:rFonts w:hint="eastAsia"/>
                <w:sz w:val="22"/>
                <w:szCs w:val="22"/>
              </w:rPr>
              <w:t>包括</w:t>
            </w:r>
            <w:r>
              <w:rPr>
                <w:sz w:val="22"/>
                <w:szCs w:val="22"/>
              </w:rPr>
              <w:t>人造奶油、起酥油的食品</w:t>
            </w:r>
            <w:r>
              <w:rPr>
                <w:rFonts w:hint="eastAsia"/>
                <w:sz w:val="22"/>
                <w:szCs w:val="22"/>
              </w:rPr>
              <w:t>等）</w:t>
            </w:r>
          </w:p>
        </w:tc>
      </w:tr>
      <w:tr w14:paraId="37F8CD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57A5442B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盐</w:t>
            </w:r>
          </w:p>
        </w:tc>
        <w:tc>
          <w:tcPr>
            <w:tcW w:w="3006" w:type="dxa"/>
          </w:tcPr>
          <w:p w14:paraId="56F91FA6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&lt;5 g/d</w:t>
            </w:r>
          </w:p>
        </w:tc>
        <w:tc>
          <w:tcPr>
            <w:tcW w:w="3400" w:type="dxa"/>
          </w:tcPr>
          <w:p w14:paraId="23778826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</w:rPr>
              <w:t>包括酱油、蚝油等调味品，深加工制品种的食盐量</w:t>
            </w:r>
          </w:p>
        </w:tc>
      </w:tr>
      <w:tr w14:paraId="6B117E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5C492CD4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食物种类多样性</w:t>
            </w:r>
          </w:p>
        </w:tc>
        <w:tc>
          <w:tcPr>
            <w:tcW w:w="3006" w:type="dxa"/>
          </w:tcPr>
          <w:p w14:paraId="52A247BF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≥12种/天</w:t>
            </w:r>
          </w:p>
        </w:tc>
        <w:tc>
          <w:tcPr>
            <w:tcW w:w="3400" w:type="dxa"/>
          </w:tcPr>
          <w:p w14:paraId="28BD5358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每日食材种类总数</w:t>
            </w:r>
          </w:p>
        </w:tc>
      </w:tr>
      <w:tr w14:paraId="7EBB58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16" w:type="dxa"/>
          </w:tcPr>
          <w:p w14:paraId="4C35C41E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水果种类</w:t>
            </w:r>
          </w:p>
        </w:tc>
        <w:tc>
          <w:tcPr>
            <w:tcW w:w="3006" w:type="dxa"/>
          </w:tcPr>
          <w:p w14:paraId="4842BDE2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≥3种/周</w:t>
            </w:r>
          </w:p>
        </w:tc>
        <w:tc>
          <w:tcPr>
            <w:tcW w:w="3400" w:type="dxa"/>
          </w:tcPr>
          <w:p w14:paraId="2751A291">
            <w:pPr>
              <w:adjustRightIn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每周水果种类总数</w:t>
            </w:r>
          </w:p>
        </w:tc>
      </w:tr>
    </w:tbl>
    <w:p w14:paraId="5B6A31BF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智能烹饪设备要求</w:t>
      </w:r>
    </w:p>
    <w:p w14:paraId="083213B7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设备类型：包含智能烹调机、定量分装设备等；</w:t>
      </w:r>
    </w:p>
    <w:p w14:paraId="176650AF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单份出餐精度：±5 g（主食/主料），±0.2 g（调料）；</w:t>
      </w:r>
    </w:p>
    <w:p w14:paraId="7716D121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出餐速度：确保1小时内可供应100人份餐食；</w:t>
      </w:r>
    </w:p>
    <w:p w14:paraId="19EABEFD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数字化追踪：记录每份餐品投料量、烹饪时间、烹饪温度等。</w:t>
      </w:r>
    </w:p>
    <w:p w14:paraId="1FA4FBE9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环保要求：无油烟排放，无水蒸气溢出，每天用电不超过30千瓦时</w:t>
      </w:r>
    </w:p>
    <w:p w14:paraId="1C961401">
      <w:pPr>
        <w:adjustRightInd w:val="0"/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占地面积：主要设备不能超过1平方米</w:t>
      </w:r>
    </w:p>
    <w:p w14:paraId="5F04E622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供应链需求</w:t>
      </w:r>
    </w:p>
    <w:p w14:paraId="53D6E93A"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优先选择岭南地区供应商，构建食材供应链，确保食材新鲜度（从产地到餐桌时间≤24小时）；</w:t>
      </w:r>
    </w:p>
    <w:p w14:paraId="1AE37E19"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供应商需具备HACCP认证，并不定期接受抽样检测，确保符合新鲜度及质量标准。</w:t>
      </w:r>
    </w:p>
    <w:p w14:paraId="1BB5D800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bookmarkStart w:id="6" w:name="OLE_LINK17"/>
      <w:r>
        <w:rPr>
          <w:rFonts w:hint="eastAsia"/>
          <w:sz w:val="24"/>
          <w:szCs w:val="24"/>
        </w:rPr>
        <w:t>餐食烹饪要求</w:t>
      </w:r>
    </w:p>
    <w:p w14:paraId="0E4FC4E6"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采用白灼、蒸、焖、炖等岭南烹饪工艺，烹饪过程数字化追踪并提供保温服务（设置70℃恒温区，实时测温）；</w:t>
      </w:r>
    </w:p>
    <w:p w14:paraId="481AA570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过敏原管理</w:t>
      </w:r>
    </w:p>
    <w:p w14:paraId="7B144D9A">
      <w:pPr>
        <w:adjustRightIn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对带有食物过敏记录的个人能够自动识别，及时调换菜品。</w:t>
      </w:r>
    </w:p>
    <w:p w14:paraId="40880950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食品安全供餐要求</w:t>
      </w:r>
    </w:p>
    <w:bookmarkEnd w:id="6"/>
    <w:p w14:paraId="4E29F1AD">
      <w:pPr>
        <w:pStyle w:val="16"/>
        <w:numPr>
          <w:ilvl w:val="0"/>
          <w:numId w:val="3"/>
        </w:numPr>
        <w:adjustRightIn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时间控制：</w:t>
      </w:r>
      <w:r>
        <w:rPr>
          <w:rFonts w:hint="eastAsia"/>
          <w:sz w:val="24"/>
          <w:szCs w:val="24"/>
        </w:rPr>
        <w:t>热食从制作完成至送达消费者的时间可达30分钟以内。</w:t>
      </w:r>
    </w:p>
    <w:p w14:paraId="78528477">
      <w:pPr>
        <w:pStyle w:val="16"/>
        <w:numPr>
          <w:ilvl w:val="0"/>
          <w:numId w:val="3"/>
        </w:numPr>
        <w:adjustRightIn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温度控制：</w:t>
      </w:r>
      <w:r>
        <w:rPr>
          <w:rFonts w:hint="eastAsia"/>
          <w:sz w:val="24"/>
          <w:szCs w:val="24"/>
        </w:rPr>
        <w:t>食材要求生鲜现场烹煮，热食必须在 70℃以上。</w:t>
      </w:r>
    </w:p>
    <w:p w14:paraId="2EA655EE">
      <w:pPr>
        <w:pStyle w:val="16"/>
        <w:numPr>
          <w:ilvl w:val="0"/>
          <w:numId w:val="3"/>
        </w:numPr>
        <w:adjustRightInd w:val="0"/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过程监控：</w:t>
      </w:r>
      <w:r>
        <w:rPr>
          <w:rFonts w:hint="eastAsia"/>
          <w:sz w:val="24"/>
          <w:szCs w:val="24"/>
        </w:rPr>
        <w:t>建立关键时间点（如烹饪完成、出餐等）记录与温度监控机制，确保可追溯。</w:t>
      </w:r>
    </w:p>
    <w:p w14:paraId="1C022615">
      <w:pPr>
        <w:numPr>
          <w:ilvl w:val="0"/>
          <w:numId w:val="1"/>
        </w:num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膳食分析</w:t>
      </w:r>
    </w:p>
    <w:p w14:paraId="40242477">
      <w:pPr>
        <w:adjustRightInd w:val="0"/>
        <w:spacing w:line="360" w:lineRule="auto"/>
        <w:ind w:firstLine="480" w:firstLineChars="200"/>
      </w:pPr>
      <w:r>
        <w:rPr>
          <w:rFonts w:hint="eastAsia"/>
          <w:sz w:val="24"/>
          <w:szCs w:val="24"/>
        </w:rPr>
        <w:t>通过人工称重记录用户实际摄入量（含就餐者编号、餐别、菜品、实际重量及剩余量等）；分餐人员配置见表2。</w:t>
      </w:r>
    </w:p>
    <w:p w14:paraId="4E2FAEB6">
      <w:pPr>
        <w:adjustRightInd w:val="0"/>
        <w:spacing w:line="360" w:lineRule="auto"/>
        <w:jc w:val="center"/>
        <w:rPr>
          <w:rFonts w:eastAsia="仿宋_GB2312"/>
        </w:rPr>
      </w:pPr>
      <w:r>
        <w:rPr>
          <w:rFonts w:hint="eastAsia" w:eastAsia="仿宋_GB2312"/>
        </w:rPr>
        <w:t>表</w:t>
      </w:r>
      <w:r>
        <w:rPr>
          <w:rFonts w:eastAsia="仿宋_GB2312"/>
        </w:rPr>
        <w:t xml:space="preserve">2 </w:t>
      </w:r>
      <w:r>
        <w:rPr>
          <w:rFonts w:hint="eastAsia" w:eastAsia="仿宋_GB2312"/>
        </w:rPr>
        <w:t>分餐人员配置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1875"/>
        <w:gridCol w:w="4529"/>
      </w:tblGrid>
      <w:tr w14:paraId="39CD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 w14:paraId="57C48945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岗位</w:t>
            </w:r>
          </w:p>
        </w:tc>
        <w:tc>
          <w:tcPr>
            <w:tcW w:w="1875" w:type="dxa"/>
          </w:tcPr>
          <w:p w14:paraId="59503A1C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人数配置</w:t>
            </w:r>
          </w:p>
        </w:tc>
        <w:tc>
          <w:tcPr>
            <w:tcW w:w="4529" w:type="dxa"/>
          </w:tcPr>
          <w:p w14:paraId="10A11399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职责说明</w:t>
            </w:r>
          </w:p>
        </w:tc>
      </w:tr>
      <w:tr w14:paraId="4A4D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 w14:paraId="1709CBBB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分餐员</w:t>
            </w:r>
          </w:p>
        </w:tc>
        <w:tc>
          <w:tcPr>
            <w:tcW w:w="1875" w:type="dxa"/>
            <w:vAlign w:val="center"/>
          </w:tcPr>
          <w:p w14:paraId="162A95F7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2人</w:t>
            </w:r>
          </w:p>
        </w:tc>
        <w:tc>
          <w:tcPr>
            <w:tcW w:w="4529" w:type="dxa"/>
            <w:vAlign w:val="center"/>
          </w:tcPr>
          <w:p w14:paraId="6AC19570">
            <w:pPr>
              <w:adjustRightInd w:val="0"/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将机器人</w:t>
            </w:r>
            <w:r>
              <w:rPr>
                <w:rFonts w:hint="eastAsia" w:eastAsia="仿宋_GB2312"/>
              </w:rPr>
              <w:t>烹调</w:t>
            </w:r>
            <w:r>
              <w:rPr>
                <w:rFonts w:eastAsia="仿宋_GB2312"/>
              </w:rPr>
              <w:t>的菜品分装至餐盒，使用电子秤校验重量，记录实际重量与剩余量，标注就餐者信息。</w:t>
            </w:r>
          </w:p>
        </w:tc>
      </w:tr>
      <w:tr w14:paraId="296E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 w14:paraId="7DEBADD1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数据记录员</w:t>
            </w:r>
          </w:p>
        </w:tc>
        <w:tc>
          <w:tcPr>
            <w:tcW w:w="1875" w:type="dxa"/>
            <w:vAlign w:val="center"/>
          </w:tcPr>
          <w:p w14:paraId="19F8152D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2人</w:t>
            </w:r>
          </w:p>
        </w:tc>
        <w:tc>
          <w:tcPr>
            <w:tcW w:w="4529" w:type="dxa"/>
            <w:vAlign w:val="center"/>
          </w:tcPr>
          <w:p w14:paraId="7149E4EA">
            <w:pPr>
              <w:adjustRightInd w:val="0"/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待就餐结束后，记录</w:t>
            </w:r>
            <w:r>
              <w:rPr>
                <w:rFonts w:eastAsia="仿宋_GB2312"/>
              </w:rPr>
              <w:t>就餐者编号、餐别、菜品、</w:t>
            </w:r>
            <w:r>
              <w:rPr>
                <w:rFonts w:hint="eastAsia" w:eastAsia="仿宋_GB2312"/>
              </w:rPr>
              <w:t>剩余</w:t>
            </w:r>
            <w:r>
              <w:rPr>
                <w:rFonts w:eastAsia="仿宋_GB2312"/>
              </w:rPr>
              <w:t>重量等</w:t>
            </w:r>
            <w:r>
              <w:rPr>
                <w:rFonts w:hint="eastAsia" w:eastAsia="仿宋_GB2312"/>
              </w:rPr>
              <w:t>信息</w:t>
            </w:r>
            <w:r>
              <w:rPr>
                <w:rFonts w:eastAsia="仿宋_GB2312"/>
              </w:rPr>
              <w:t>。</w:t>
            </w:r>
          </w:p>
        </w:tc>
      </w:tr>
      <w:tr w14:paraId="5134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 w14:paraId="283820D2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技术维护人员</w:t>
            </w:r>
          </w:p>
        </w:tc>
        <w:tc>
          <w:tcPr>
            <w:tcW w:w="1875" w:type="dxa"/>
            <w:vAlign w:val="center"/>
          </w:tcPr>
          <w:p w14:paraId="69848EED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hint="eastAsia" w:eastAsia="仿宋_GB2312"/>
              </w:rPr>
              <w:t>人</w:t>
            </w:r>
          </w:p>
        </w:tc>
        <w:tc>
          <w:tcPr>
            <w:tcW w:w="4529" w:type="dxa"/>
            <w:vAlign w:val="center"/>
          </w:tcPr>
          <w:p w14:paraId="5CB721C5">
            <w:pPr>
              <w:adjustRightInd w:val="0"/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维护炒菜机器人、智能分装系统及称重设备，处理故障并定期校准仪器。</w:t>
            </w:r>
          </w:p>
        </w:tc>
      </w:tr>
      <w:tr w14:paraId="01AF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vAlign w:val="center"/>
          </w:tcPr>
          <w:p w14:paraId="51C9D00F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食品安全管理员</w:t>
            </w:r>
          </w:p>
        </w:tc>
        <w:tc>
          <w:tcPr>
            <w:tcW w:w="1875" w:type="dxa"/>
            <w:vAlign w:val="center"/>
          </w:tcPr>
          <w:p w14:paraId="5BB3CFB5">
            <w:pPr>
              <w:adjustRightIn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hint="eastAsia" w:eastAsia="仿宋_GB2312"/>
              </w:rPr>
              <w:t>人</w:t>
            </w:r>
          </w:p>
        </w:tc>
        <w:tc>
          <w:tcPr>
            <w:tcW w:w="4529" w:type="dxa"/>
            <w:vAlign w:val="center"/>
          </w:tcPr>
          <w:p w14:paraId="54D7D3F6">
            <w:pPr>
              <w:adjustRightInd w:val="0"/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监督分餐流程合规性，审核数据记录，协调异常情况处理，确保符合ISO 22000标准。</w:t>
            </w:r>
          </w:p>
        </w:tc>
      </w:tr>
    </w:tbl>
    <w:p w14:paraId="6685C217">
      <w:pPr>
        <w:adjustRightInd w:val="0"/>
        <w:spacing w:line="360" w:lineRule="auto"/>
      </w:pPr>
      <w:r>
        <w:rPr>
          <w:rFonts w:hint="eastAsia"/>
        </w:rPr>
        <w:t>注：岗位人员可重叠。</w:t>
      </w:r>
    </w:p>
    <w:p w14:paraId="6CE8C570">
      <w:pPr>
        <w:tabs>
          <w:tab w:val="right" w:pos="9524"/>
        </w:tabs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三、主要商务要求</w:t>
      </w:r>
    </w:p>
    <w:p w14:paraId="046E50A9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（一）付款方式</w:t>
      </w:r>
    </w:p>
    <w:p w14:paraId="26CE5E73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1.第一期支付：合同签订后支付合同总额的50%。</w:t>
      </w:r>
    </w:p>
    <w:p w14:paraId="33A104BB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2.第二期支付：</w:t>
      </w:r>
      <w:r>
        <w:rPr>
          <w:rFonts w:hint="eastAsia"/>
          <w:bCs/>
          <w:color w:val="auto"/>
          <w:sz w:val="24"/>
          <w:szCs w:val="24"/>
        </w:rPr>
        <w:t>标的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设</w:t>
      </w:r>
      <w:bookmarkStart w:id="11" w:name="_GoBack"/>
      <w:bookmarkEnd w:id="11"/>
      <w:r>
        <w:rPr>
          <w:rFonts w:hint="eastAsia"/>
          <w:bCs/>
          <w:color w:val="auto"/>
          <w:sz w:val="24"/>
          <w:szCs w:val="24"/>
          <w:lang w:val="en-US" w:eastAsia="zh-CN"/>
        </w:rPr>
        <w:t>备</w:t>
      </w:r>
      <w:r>
        <w:rPr>
          <w:rFonts w:hint="eastAsia"/>
          <w:bCs/>
          <w:color w:val="auto"/>
          <w:sz w:val="24"/>
          <w:szCs w:val="24"/>
        </w:rPr>
        <w:t>均到货、安装、验收合格并投入使用后12个月内，支付合同总额的50%。</w:t>
      </w:r>
    </w:p>
    <w:p w14:paraId="1FA2CB54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3.乙方须凭以下有效文件向甲方申请支付货款：</w:t>
      </w:r>
    </w:p>
    <w:p w14:paraId="49500C7E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3.1.请款函；</w:t>
      </w:r>
    </w:p>
    <w:p w14:paraId="7C3AAA7A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3.2.合法有效的发票；</w:t>
      </w:r>
    </w:p>
    <w:p w14:paraId="3E792BB9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3.3.中标通知书。</w:t>
      </w:r>
    </w:p>
    <w:p w14:paraId="5C95C668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说明：由于财政资金拨款延误而导致甲方逾期付款的，甲方不承担违约责任</w:t>
      </w:r>
    </w:p>
    <w:p w14:paraId="070AE27F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</w:p>
    <w:p w14:paraId="534C6C13">
      <w:pPr>
        <w:tabs>
          <w:tab w:val="right" w:pos="9524"/>
        </w:tabs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（二）交付要求</w:t>
      </w:r>
    </w:p>
    <w:p w14:paraId="586B490D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合同签订后15天内完成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设备</w:t>
      </w:r>
      <w:r>
        <w:rPr>
          <w:rFonts w:hint="eastAsia"/>
          <w:bCs/>
          <w:color w:val="auto"/>
          <w:sz w:val="24"/>
          <w:szCs w:val="24"/>
        </w:rPr>
        <w:t>的供货、安装调试、验收并交付给采购人使用</w:t>
      </w:r>
    </w:p>
    <w:p w14:paraId="77FA97D4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（三）验收要求</w:t>
      </w:r>
    </w:p>
    <w:p w14:paraId="13A9606A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1.设备采用租赁方式，设备到达后，安装前使用方、供应商双方一起开箱按合同要求进行验收并符合国家的有关规定，设备安装调试由供应商负责免费安装调试。如验收时发现货物未按照单一来源协商文件要求、合同要求的或不符合产品说明书上技术参数的应予退还。</w:t>
      </w:r>
    </w:p>
    <w:p w14:paraId="0BA4E640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2.供应商送货上门，运费、装卸费及保险费等一切相关费用均由供应商负责。</w:t>
      </w:r>
    </w:p>
    <w:p w14:paraId="6EC07AF4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3.供应商应依照行业标准对租赁的设备等进行包装，以防止设备在转运中损坏、污染或侵权行为等，确保设备安全运抵指定地点。</w:t>
      </w:r>
    </w:p>
    <w:p w14:paraId="6E7F0D0C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 xml:space="preserve">4.供应商向租赁人提供该设备全部相关资质证明，供应商应将货物送到采购人指定地点交给采购人收货人，货物交付前的一切风险由供应商承担。  </w:t>
      </w:r>
    </w:p>
    <w:p w14:paraId="5C9B32D3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5.供应商应按双方约定的时间交付采购人购买的设备，采购人应及时组织验收；对于符合合同约定的标的物予以接收，对不符合合同要求的质量、品种、规格、数量等，采购人有权拒绝接受。供应商应及时更换被拒绝的设备，但不得影响采购人的使用。如影响采购人应用并造成损失，采购人有权要求供应商赔偿由此造成的损失。</w:t>
      </w:r>
    </w:p>
    <w:p w14:paraId="5F9E3F1E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FF0000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6.供应商所交付的设备因运输造成包装破损、污染等无法使用时，采购人应及时统计并保存前述物品，并以传真等书面形式要求供应商在约定的时间内补足。</w:t>
      </w:r>
    </w:p>
    <w:p w14:paraId="6D03A568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</w:p>
    <w:p w14:paraId="0EE26FD8">
      <w:pPr>
        <w:tabs>
          <w:tab w:val="right" w:pos="9524"/>
        </w:tabs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（四）售后服务要求</w:t>
      </w:r>
    </w:p>
    <w:p w14:paraId="701910AC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1.免费保修期：设备安装验收合格后5年。</w:t>
      </w:r>
    </w:p>
    <w:p w14:paraId="75079F0B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2.厂家技术人员负责设备安装调试及现场培训，确保仪器正常操作使用。</w:t>
      </w:r>
    </w:p>
    <w:p w14:paraId="53850203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3.设备质保期内：软件免费升级，设备非人为故障，厂家负责免费维修。</w:t>
      </w:r>
    </w:p>
    <w:p w14:paraId="3CEBA5F7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4.维修故障承诺：收到维修通知2小时内响应，4小时内维修工程师到达现场维修。</w:t>
      </w:r>
    </w:p>
    <w:p w14:paraId="1F1E7C63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5.保修期外：软件收费升级，设备终生有偿维护、维修服务。</w:t>
      </w:r>
    </w:p>
    <w:p w14:paraId="26ABFED7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6.保修期内如涉及操作系统版本升级或操作系统需要重装，均为免收采购人费用（所需费用均包含在投标报价内）。</w:t>
      </w:r>
    </w:p>
    <w:p w14:paraId="5AB637C1">
      <w:pPr>
        <w:tabs>
          <w:tab w:val="right" w:pos="9524"/>
        </w:tabs>
        <w:adjustRightInd w:val="0"/>
        <w:spacing w:line="360" w:lineRule="auto"/>
        <w:ind w:firstLine="480" w:firstLineChars="200"/>
        <w:rPr>
          <w:color w:val="auto"/>
        </w:rPr>
      </w:pPr>
      <w:r>
        <w:rPr>
          <w:rFonts w:hint="eastAsia"/>
          <w:bCs/>
          <w:color w:val="auto"/>
          <w:sz w:val="24"/>
          <w:szCs w:val="24"/>
        </w:rPr>
        <w:t xml:space="preserve">7.中标方免费提供数据接口费用。 </w:t>
      </w:r>
    </w:p>
    <w:p w14:paraId="4A7F2F47">
      <w:pPr>
        <w:tabs>
          <w:tab w:val="right" w:pos="9524"/>
        </w:tabs>
        <w:adjustRightInd w:val="0"/>
        <w:spacing w:line="360" w:lineRule="auto"/>
        <w:ind w:firstLine="480" w:firstLineChars="200"/>
        <w:rPr>
          <w:bCs/>
          <w:sz w:val="24"/>
          <w:szCs w:val="24"/>
        </w:rPr>
      </w:pPr>
    </w:p>
    <w:p w14:paraId="7BFAA6F1">
      <w:pPr>
        <w:tabs>
          <w:tab w:val="right" w:pos="9524"/>
        </w:tabs>
        <w:adjustRightInd w:val="0"/>
        <w:spacing w:line="360" w:lineRule="auto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（五）其他要求</w:t>
      </w:r>
    </w:p>
    <w:p w14:paraId="2966418D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1、供应商负责货到现场过程中的全部运输，包括装卸车、货物现场的搬运。供应商送货上门，运费、装卸费及保险费等一切相关费用均由供应商负责。</w:t>
      </w:r>
    </w:p>
    <w:p w14:paraId="52F7F230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供应商应依照行业标准对采购人所购买的设备等进行包装，以防止设备在转运中损坏、污染或侵权行为等，确保设备安全运抵指定地点。供应商所交付的设备因运输造成包装破损、污染等无法使用时，应在约定的时间内补足。</w:t>
      </w:r>
    </w:p>
    <w:p w14:paraId="74656C21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3、设备到达医院后，需按照国家及行业的有关规定、</w:t>
      </w:r>
      <w:r>
        <w:rPr>
          <w:rFonts w:hint="eastAsia"/>
          <w:bCs/>
          <w:color w:val="auto"/>
          <w:sz w:val="24"/>
          <w:szCs w:val="24"/>
        </w:rPr>
        <w:t>设备特点进行安装调试，确保设备正常操作使用。采购人有权在安装调试完成后对产品的参数要求进行逐条验证，如发现供货产品与采购要求不符，采购人有权单方解除</w:t>
      </w:r>
      <w:r>
        <w:rPr>
          <w:rFonts w:hint="eastAsia"/>
          <w:bCs/>
          <w:sz w:val="24"/>
          <w:szCs w:val="24"/>
        </w:rPr>
        <w:t>合同并要求供应商赔偿全部损失。</w:t>
      </w:r>
    </w:p>
    <w:p w14:paraId="6D6AEFCB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4、供货地点：采购人指定地点。</w:t>
      </w:r>
    </w:p>
    <w:p w14:paraId="539FC93D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本项目投标报价包括设备设计、货物制造、货物及配件购置、包装、仓储、运输、安装、调试、检测、验收、技术服务（包括说明、图纸等资料的提供）、培训、质保期保障、备品备件、版权专利、所有税费。如发生缺漏项视同已包含在报价之中。</w:t>
      </w:r>
    </w:p>
    <w:p w14:paraId="58EBB52E">
      <w:pPr>
        <w:adjustRightInd w:val="0"/>
        <w:spacing w:line="360" w:lineRule="auto"/>
        <w:ind w:firstLine="480" w:firstLineChars="200"/>
        <w:jc w:val="left"/>
        <w:rPr>
          <w:bCs/>
          <w:sz w:val="24"/>
          <w:szCs w:val="24"/>
        </w:rPr>
      </w:pPr>
    </w:p>
    <w:p w14:paraId="5805DC79">
      <w:pPr>
        <w:spacing w:line="360" w:lineRule="auto"/>
        <w:jc w:val="left"/>
        <w:rPr>
          <w:bCs/>
          <w:sz w:val="24"/>
          <w:szCs w:val="24"/>
        </w:rPr>
      </w:pPr>
    </w:p>
    <w:p w14:paraId="1DDA2D3E">
      <w:pPr>
        <w:spacing w:line="360" w:lineRule="auto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附件：附表1. 肉类摄入细则</w:t>
      </w:r>
    </w:p>
    <w:p w14:paraId="3BB02C7C">
      <w:pPr>
        <w:spacing w:line="360" w:lineRule="auto"/>
        <w:ind w:firstLine="720" w:firstLineChars="3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附表2. 深色蔬菜清单</w:t>
      </w:r>
    </w:p>
    <w:p w14:paraId="5A715A44">
      <w:pPr>
        <w:spacing w:line="360" w:lineRule="auto"/>
        <w:ind w:firstLine="720" w:firstLineChars="3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附表3. 水果选择分级</w:t>
      </w:r>
    </w:p>
    <w:p w14:paraId="789448FB">
      <w:pPr>
        <w:spacing w:line="360" w:lineRule="auto"/>
        <w:ind w:firstLine="720" w:firstLineChars="300"/>
        <w:jc w:val="lef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附表4. 豆制品转换表</w:t>
      </w:r>
    </w:p>
    <w:p w14:paraId="46B108D0">
      <w:pPr>
        <w:spacing w:line="360" w:lineRule="auto"/>
        <w:jc w:val="left"/>
        <w:rPr>
          <w:bCs/>
          <w:sz w:val="24"/>
          <w:szCs w:val="24"/>
        </w:rPr>
      </w:pPr>
    </w:p>
    <w:p w14:paraId="3C863540">
      <w:pPr>
        <w:spacing w:line="360" w:lineRule="auto"/>
        <w:ind w:firstLine="480" w:firstLineChars="200"/>
        <w:jc w:val="left"/>
        <w:rPr>
          <w:bCs/>
          <w:sz w:val="24"/>
          <w:szCs w:val="24"/>
        </w:rPr>
      </w:pPr>
    </w:p>
    <w:p w14:paraId="1835A3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F1D795">
      <w:pPr>
        <w:autoSpaceDE w:val="0"/>
        <w:adjustRightInd w:val="0"/>
        <w:spacing w:line="360" w:lineRule="auto"/>
        <w:jc w:val="left"/>
        <w:rPr>
          <w:b/>
          <w:bCs/>
          <w:sz w:val="28"/>
          <w:szCs w:val="28"/>
          <w:lang w:bidi="ar"/>
        </w:rPr>
      </w:pPr>
      <w:r>
        <w:rPr>
          <w:rFonts w:hint="eastAsia"/>
          <w:b/>
          <w:bCs/>
          <w:sz w:val="28"/>
          <w:szCs w:val="28"/>
          <w:lang w:bidi="ar"/>
        </w:rPr>
        <w:t>附件</w:t>
      </w:r>
    </w:p>
    <w:p w14:paraId="3A2ED8F6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  <w:lang w:bidi="ar"/>
        </w:rPr>
        <w:t>附表</w:t>
      </w:r>
      <w:r>
        <w:rPr>
          <w:rFonts w:eastAsia="仿宋_GB2312"/>
          <w:sz w:val="22"/>
          <w:szCs w:val="22"/>
          <w:lang w:bidi="ar"/>
        </w:rPr>
        <w:t xml:space="preserve">1 </w:t>
      </w:r>
      <w:r>
        <w:rPr>
          <w:rFonts w:hint="eastAsia" w:eastAsia="仿宋_GB2312"/>
          <w:sz w:val="22"/>
          <w:szCs w:val="22"/>
          <w:lang w:bidi="ar"/>
        </w:rPr>
        <w:t>肉类摄入细则</w:t>
      </w:r>
    </w:p>
    <w:tbl>
      <w:tblPr>
        <w:tblStyle w:val="9"/>
        <w:tblW w:w="8218" w:type="dxa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3805"/>
      </w:tblGrid>
      <w:tr w14:paraId="5D575E5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41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086E53B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白肉（总肉类摄入占比≥</w:t>
            </w:r>
            <w:r>
              <w:rPr>
                <w:rFonts w:eastAsia="仿宋_GB2312"/>
                <w:sz w:val="22"/>
                <w:szCs w:val="22"/>
                <w:lang w:bidi="ar"/>
              </w:rPr>
              <w:t>50%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）</w:t>
            </w:r>
          </w:p>
        </w:tc>
        <w:tc>
          <w:tcPr>
            <w:tcW w:w="380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186A254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红肉（</w:t>
            </w:r>
            <w:r>
              <w:rPr>
                <w:rFonts w:eastAsia="仿宋_GB2312"/>
                <w:sz w:val="22"/>
                <w:szCs w:val="22"/>
                <w:lang w:bidi="ar"/>
              </w:rPr>
              <w:t>优选瘦肉部位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）</w:t>
            </w:r>
          </w:p>
        </w:tc>
      </w:tr>
      <w:tr w14:paraId="127F290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C32E9">
            <w:pPr>
              <w:autoSpaceDE w:val="0"/>
              <w:adjustRightInd w:val="0"/>
              <w:spacing w:line="360" w:lineRule="auto"/>
              <w:jc w:val="left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鸡肉（鸡腿肉、鸡胸肉）、鸭肉、鹅肉</w:t>
            </w:r>
          </w:p>
          <w:p w14:paraId="185308DD">
            <w:pPr>
              <w:autoSpaceDE w:val="0"/>
              <w:adjustRightIn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鲫鱼（鲜活）、草鱼（鲜活）、花蛤（鲜活）、生鱼</w:t>
            </w:r>
            <w:r>
              <w:rPr>
                <w:rFonts w:eastAsia="仿宋_GB2312"/>
                <w:sz w:val="22"/>
                <w:szCs w:val="22"/>
                <w:lang w:bidi="ar"/>
              </w:rPr>
              <w:t>/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黑鱼（鲜活）、鲈鱼（鲜活）、蛏子（鲜活）、基围虾（鲜活）、梭子蟹（鲜活）、罗氏虾（鲜活）、黄骨鱼（鲜活）、斑节虾（鲜活）、黄花鱼（冰鲜）、扇贝（冰鲜贝柱）、带子（冰鲜）、鳕鱼、金鲳鱼、白鲳、鲮鱼、秋刀鱼、巴浪鱼、鳙鱼（大头）、鲩鱼仔（小草鱼）、池鱼（圆鲹）、罗非鱼、墨鱼仔（小管）、金线鱼、青鳞鱼、沙尖鱼、鲢鱼（白鲢）、马头鱼（方头鱼）、海蛎（褶牡蛎）、淡菜（青口）</w:t>
            </w:r>
          </w:p>
        </w:tc>
        <w:tc>
          <w:tcPr>
            <w:tcW w:w="380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EF107A3">
            <w:pPr>
              <w:autoSpaceDE w:val="0"/>
              <w:adjustRightInd w:val="0"/>
              <w:spacing w:line="360" w:lineRule="auto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少量，优先猪肉（里脊、小排、肋排、梅头肉、腿肉）</w:t>
            </w:r>
          </w:p>
        </w:tc>
      </w:tr>
      <w:tr w14:paraId="77E94B0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441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9B5C81">
            <w:pPr>
              <w:rPr>
                <w:rFonts w:eastAsia="仿宋_GB2312"/>
                <w:sz w:val="22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BACB135">
            <w:pPr>
              <w:autoSpaceDE w:val="0"/>
              <w:adjustRightInd w:val="0"/>
              <w:spacing w:line="360" w:lineRule="auto"/>
              <w:jc w:val="left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牛肉（牛腱、里脊、眼肉、上脑）、羊肉（肋排、羊腿、上脑）限量摄入</w:t>
            </w:r>
          </w:p>
        </w:tc>
      </w:tr>
    </w:tbl>
    <w:p w14:paraId="6C3BC908">
      <w:pPr>
        <w:autoSpaceDE w:val="0"/>
        <w:adjustRightInd w:val="0"/>
        <w:spacing w:line="360" w:lineRule="auto"/>
        <w:rPr>
          <w:rFonts w:eastAsia="仿宋_GB2312"/>
          <w:sz w:val="22"/>
          <w:szCs w:val="22"/>
          <w:lang w:bidi="ar"/>
        </w:rPr>
      </w:pPr>
      <w:r>
        <w:rPr>
          <w:rFonts w:hint="eastAsia" w:eastAsia="仿宋_GB2312"/>
          <w:sz w:val="22"/>
          <w:szCs w:val="22"/>
          <w:lang w:bidi="ar"/>
        </w:rPr>
        <w:t>注：1. 未标注新鲜度的食材优先级：鲜活＞冰鲜</w:t>
      </w:r>
      <w:r>
        <w:rPr>
          <w:rFonts w:eastAsia="仿宋_GB2312"/>
          <w:sz w:val="22"/>
          <w:szCs w:val="22"/>
          <w:lang w:bidi="ar"/>
        </w:rPr>
        <w:t xml:space="preserve"> &gt; </w:t>
      </w:r>
      <w:r>
        <w:rPr>
          <w:rFonts w:hint="eastAsia" w:eastAsia="仿宋_GB2312"/>
          <w:sz w:val="22"/>
          <w:szCs w:val="22"/>
          <w:lang w:bidi="ar"/>
        </w:rPr>
        <w:t>冷鲜</w:t>
      </w:r>
      <w:r>
        <w:rPr>
          <w:rFonts w:eastAsia="仿宋_GB2312"/>
          <w:sz w:val="22"/>
          <w:szCs w:val="22"/>
          <w:lang w:bidi="ar"/>
        </w:rPr>
        <w:t xml:space="preserve"> &gt; </w:t>
      </w:r>
      <w:r>
        <w:rPr>
          <w:rFonts w:hint="eastAsia" w:eastAsia="仿宋_GB2312"/>
          <w:sz w:val="22"/>
          <w:szCs w:val="22"/>
          <w:lang w:bidi="ar"/>
        </w:rPr>
        <w:t>冷冻;</w:t>
      </w:r>
    </w:p>
    <w:p w14:paraId="500FC48E">
      <w:pPr>
        <w:autoSpaceDE w:val="0"/>
        <w:adjustRightInd w:val="0"/>
        <w:spacing w:line="360" w:lineRule="auto"/>
        <w:ind w:firstLine="420"/>
        <w:rPr>
          <w:rFonts w:eastAsia="仿宋_GB2312"/>
          <w:sz w:val="22"/>
          <w:szCs w:val="22"/>
          <w:lang w:bidi="ar"/>
        </w:rPr>
      </w:pPr>
      <w:r>
        <w:rPr>
          <w:rFonts w:hint="eastAsia" w:eastAsia="仿宋_GB2312"/>
          <w:sz w:val="22"/>
          <w:szCs w:val="22"/>
          <w:lang w:bidi="ar"/>
        </w:rPr>
        <w:t>2. 禁止使用加工肉类（如：</w:t>
      </w:r>
      <w:r>
        <w:rPr>
          <w:rFonts w:eastAsia="仿宋_GB2312"/>
          <w:sz w:val="22"/>
          <w:szCs w:val="22"/>
          <w:lang w:bidi="ar"/>
        </w:rPr>
        <w:t>腊肠、腊肉、火腿、培根、午餐肉、肉松等</w:t>
      </w:r>
      <w:r>
        <w:rPr>
          <w:rFonts w:hint="eastAsia" w:eastAsia="仿宋_GB2312"/>
          <w:sz w:val="22"/>
          <w:szCs w:val="22"/>
          <w:lang w:bidi="ar"/>
        </w:rPr>
        <w:t>）</w:t>
      </w:r>
    </w:p>
    <w:p w14:paraId="30F6008F">
      <w:pPr>
        <w:autoSpaceDE w:val="0"/>
        <w:adjustRightInd w:val="0"/>
        <w:spacing w:line="360" w:lineRule="auto"/>
        <w:ind w:firstLine="420"/>
        <w:jc w:val="left"/>
        <w:rPr>
          <w:rFonts w:eastAsia="仿宋_GB2312"/>
          <w:sz w:val="22"/>
          <w:szCs w:val="22"/>
          <w:lang w:bidi="ar"/>
        </w:rPr>
      </w:pPr>
      <w:r>
        <w:rPr>
          <w:rFonts w:hint="eastAsia" w:eastAsia="仿宋_GB2312"/>
          <w:sz w:val="22"/>
          <w:szCs w:val="22"/>
          <w:lang w:bidi="ar"/>
        </w:rPr>
        <w:t xml:space="preserve">3. </w:t>
      </w:r>
      <w:r>
        <w:rPr>
          <w:rFonts w:eastAsia="仿宋_GB2312"/>
          <w:sz w:val="22"/>
          <w:szCs w:val="22"/>
          <w:lang w:bidi="ar"/>
        </w:rPr>
        <w:t>白肉总量中，</w:t>
      </w:r>
      <w:bookmarkStart w:id="7" w:name="OLE_LINK4"/>
      <w:r>
        <w:rPr>
          <w:rFonts w:eastAsia="仿宋_GB2312"/>
          <w:sz w:val="22"/>
          <w:szCs w:val="22"/>
          <w:lang w:bidi="ar"/>
        </w:rPr>
        <w:t>贝类/虾蟹类占比</w:t>
      </w:r>
      <w:bookmarkEnd w:id="7"/>
      <w:r>
        <w:rPr>
          <w:rFonts w:eastAsia="仿宋_GB2312"/>
          <w:sz w:val="22"/>
          <w:szCs w:val="22"/>
          <w:lang w:bidi="ar"/>
        </w:rPr>
        <w:t>建议不超过20%-30%</w:t>
      </w:r>
      <w:r>
        <w:rPr>
          <w:rFonts w:hint="eastAsia" w:eastAsia="仿宋_GB2312"/>
          <w:sz w:val="22"/>
          <w:szCs w:val="22"/>
          <w:lang w:bidi="ar"/>
        </w:rPr>
        <w:t xml:space="preserve"> </w:t>
      </w:r>
    </w:p>
    <w:p w14:paraId="2E27E50B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  <w:lang w:bidi="ar"/>
        </w:rPr>
        <w:t xml:space="preserve"> </w:t>
      </w:r>
    </w:p>
    <w:p w14:paraId="35183AEA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  <w:lang w:bidi="ar"/>
        </w:rPr>
        <w:t>附表</w:t>
      </w:r>
      <w:r>
        <w:rPr>
          <w:rFonts w:eastAsia="仿宋_GB2312"/>
          <w:sz w:val="22"/>
          <w:szCs w:val="22"/>
          <w:lang w:bidi="ar"/>
        </w:rPr>
        <w:t xml:space="preserve">2 </w:t>
      </w:r>
      <w:r>
        <w:rPr>
          <w:rFonts w:hint="eastAsia" w:eastAsia="仿宋_GB2312"/>
          <w:sz w:val="22"/>
          <w:szCs w:val="22"/>
          <w:lang w:bidi="ar"/>
        </w:rPr>
        <w:t>深色蔬菜清单</w:t>
      </w:r>
    </w:p>
    <w:tbl>
      <w:tblPr>
        <w:tblStyle w:val="9"/>
        <w:tblW w:w="8267" w:type="dxa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90"/>
        <w:gridCol w:w="2550"/>
        <w:gridCol w:w="2736"/>
      </w:tblGrid>
      <w:tr w14:paraId="2C89FCC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51E8F8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bookmarkStart w:id="8" w:name="_Hlk205456570"/>
            <w:r>
              <w:rPr>
                <w:rFonts w:hint="eastAsia" w:eastAsia="仿宋_GB2312"/>
                <w:sz w:val="22"/>
                <w:szCs w:val="22"/>
                <w:lang w:bidi="ar"/>
              </w:rPr>
              <w:t>深色蔬菜名称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29D749E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类型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39CEF2E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最佳食用季节</w:t>
            </w:r>
          </w:p>
        </w:tc>
        <w:tc>
          <w:tcPr>
            <w:tcW w:w="273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732D460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是否岭南特色</w:t>
            </w:r>
          </w:p>
        </w:tc>
      </w:tr>
      <w:tr w14:paraId="62020A5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4A219C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菠菜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211E76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856720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009F22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bookmarkEnd w:id="8"/>
      <w:tr w14:paraId="053FA0D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80F7A9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芥蓝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5C54FB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1F22FA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121D52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6D3AF45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D633CF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菜心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3A9381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DB3BC8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全年（秋冬最甜）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0B28BE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7B1B85B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E0980E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番薯叶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4A35F6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1FCDB9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8781AB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33E5604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9324F7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红苋菜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0B1F54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53F14C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4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-9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781FA0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169AAF2E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2513D9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茄子（紫）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130BED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茄果类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98A24C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D3E88F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1B47AC1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F434E0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紫甘蓝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2F0645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结球叶菜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E4934B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F0CD9E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2C3DC47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DA6D41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黑木耳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B6D7C0E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菌藻类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952330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全年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60C56B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29CA648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0FEAD2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黑豆苗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01DBDC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芽苗菜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3C1632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全年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869703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1C67382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DC5B2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西洋菜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277A7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66DC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11月~次年3月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2892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55EFBF4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B94E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红凤菜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091E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D5AFD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全年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42EB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3C9E9CD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9012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枸杞叶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DBD8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芽菜类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C58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3~5月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733B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1D064D9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B718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紫背菜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2B49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938E9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春夏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2C2D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是</w:t>
            </w:r>
          </w:p>
        </w:tc>
      </w:tr>
      <w:tr w14:paraId="19E4001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1813B5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益母草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AD0302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草本类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92D29F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全年（春季最嫩）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24644D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03120D3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0BF1A1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豌豆苗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851894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芽苗类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E1CFD2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~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4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8A53D3E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528F8A8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31BA40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佛手瓜苗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F77255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藤蔓类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7C983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3~10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3A5008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是</w:t>
            </w:r>
          </w:p>
        </w:tc>
      </w:tr>
      <w:tr w14:paraId="2BCB5765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5EB824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木耳菜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F9DE3D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3D9EDE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-9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2025B0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岭南广泛食用</w:t>
            </w:r>
          </w:p>
        </w:tc>
      </w:tr>
      <w:tr w14:paraId="5FAB3519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7E19FA0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空心菜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EC524F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9B2903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036C6B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bookmarkStart w:id="9" w:name="OLE_LINK6"/>
            <w:r>
              <w:rPr>
                <w:rFonts w:eastAsia="仿宋_GB2312"/>
                <w:sz w:val="22"/>
                <w:szCs w:val="22"/>
                <w:lang w:bidi="ar"/>
              </w:rPr>
              <w:t>岭南广泛食用</w:t>
            </w:r>
            <w:bookmarkEnd w:id="9"/>
          </w:p>
        </w:tc>
      </w:tr>
      <w:tr w14:paraId="585AFD6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35444A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南瓜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53817D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瓜类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AA6345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9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1B820B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岭南广泛食用</w:t>
            </w:r>
          </w:p>
        </w:tc>
      </w:tr>
      <w:tr w14:paraId="719E1DC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570AA97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通用类</w:t>
            </w:r>
          </w:p>
        </w:tc>
      </w:tr>
      <w:tr w14:paraId="49E2B83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6F692C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韭菜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41F531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1CA051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月（春韭）</w:t>
            </w:r>
          </w:p>
        </w:tc>
        <w:tc>
          <w:tcPr>
            <w:tcW w:w="273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8A9DCF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0739B8B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B8228C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韭黄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46078A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软化叶菜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9FC4DA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77E88E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74A8F3E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B47DCB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茼蒿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55A1CC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8DF753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2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22B563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23DEFAB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E1ACEE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E7ABF6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BB8C1B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496E90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14:paraId="065942D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C9FD86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红辣椒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28B37D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茄果类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B86021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F7FEE4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4C58276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CFD084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紫扁豆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A546D6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豆荚类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DE8981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3272D6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20C3A1A0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A3641F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黑皮冬瓜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3B6E7E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EED458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-9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096F2AF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01CA9E0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C8916B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胡萝卜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99503B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根茎类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90F991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-12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AAF549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34EC560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BF787D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C48BDB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BB1CB6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5A572C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</w:p>
        </w:tc>
      </w:tr>
      <w:tr w14:paraId="3A2BA97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FCFA3E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油麦菜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2E0709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2B843A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/9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AE452D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7E75AFD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264190C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西红柿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B9CB3F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茄果类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56EF3E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-8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F696A5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1576446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1EA99F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紫洋葱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CC6339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鳞茎类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1B45C7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5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1A44DB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1A7D23D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CD0B39E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西兰花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5CA511B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花菜类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16119C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次年</w:t>
            </w: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AFD08F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0B2F2F7A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5015C10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上海青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536025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叶菜类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FD134D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3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-4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/10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-11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355E9BCE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2CD76777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C5D90F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口蘑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DE8E03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蘑菇类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B4B2BF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全年（春季最鲜）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86915E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2C6F4A6D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BD07E3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彩椒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5C4BF7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茄果类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834E35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-10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E75296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3AD43BE4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25C4A8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芦笋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2ECD04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茎菜类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BA1D36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sz w:val="22"/>
                <w:szCs w:val="22"/>
                <w:lang w:bidi="ar"/>
              </w:rPr>
              <w:t>4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  <w:r>
              <w:rPr>
                <w:rFonts w:eastAsia="仿宋_GB2312"/>
                <w:sz w:val="22"/>
                <w:szCs w:val="22"/>
                <w:lang w:bidi="ar"/>
              </w:rPr>
              <w:t>-6</w:t>
            </w:r>
            <w:r>
              <w:rPr>
                <w:rFonts w:hint="eastAsia" w:eastAsia="仿宋_GB2312"/>
                <w:sz w:val="22"/>
                <w:szCs w:val="22"/>
                <w:lang w:bidi="ar"/>
              </w:rPr>
              <w:t>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13D5ED5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74569068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7A0ABB6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红菜苔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6B42325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茎菜类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BE6FCD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11月~次年3月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4D6F554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bookmarkStart w:id="10" w:name="OLE_LINK13"/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  <w:bookmarkEnd w:id="10"/>
          </w:p>
        </w:tc>
      </w:tr>
      <w:tr w14:paraId="090DD90B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468765A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香菇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ADB629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菌藻类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7007A5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全年（冬季最佳）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831D26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4C8AFF63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7F7685C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紫菜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3DD9313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菌藻类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24613D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11月-次年3月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A39858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4A8DDE0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83BFC8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海带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3A9A0E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菌藻类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5A60EF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全年（冬季最佳）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D34F114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  <w:tr w14:paraId="4392C90C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E8E015E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发菜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7FF15B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菌藻类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B772A6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szCs w:val="22"/>
                <w:lang w:bidi="ar"/>
              </w:rPr>
              <w:t>全年（冬季最佳）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488C5CF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通用</w:t>
            </w:r>
          </w:p>
        </w:tc>
      </w:tr>
    </w:tbl>
    <w:p w14:paraId="5A536C6F">
      <w:pPr>
        <w:autoSpaceDE w:val="0"/>
        <w:adjustRightInd w:val="0"/>
        <w:spacing w:line="360" w:lineRule="auto"/>
        <w:rPr>
          <w:rFonts w:eastAsia="仿宋_GB2312"/>
          <w:sz w:val="22"/>
          <w:szCs w:val="22"/>
          <w:lang w:bidi="ar"/>
        </w:rPr>
      </w:pPr>
      <w:r>
        <w:rPr>
          <w:rFonts w:hint="eastAsia" w:eastAsia="仿宋_GB2312"/>
          <w:sz w:val="22"/>
          <w:szCs w:val="22"/>
          <w:lang w:bidi="ar"/>
        </w:rPr>
        <w:t>注: 深色蔬菜的定义为深绿色、红色、橘红色、紫红色等深颜色的蔬菜</w:t>
      </w:r>
    </w:p>
    <w:p w14:paraId="1580997A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2"/>
        </w:rPr>
      </w:pPr>
    </w:p>
    <w:p w14:paraId="28A7FA06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2"/>
        </w:rPr>
      </w:pPr>
      <w:r>
        <w:rPr>
          <w:rFonts w:hint="eastAsia" w:eastAsia="仿宋_GB2312"/>
          <w:sz w:val="22"/>
          <w:szCs w:val="22"/>
          <w:lang w:bidi="ar"/>
        </w:rPr>
        <w:t>附表</w:t>
      </w:r>
      <w:r>
        <w:rPr>
          <w:rFonts w:eastAsia="仿宋_GB2312"/>
          <w:sz w:val="22"/>
          <w:szCs w:val="22"/>
          <w:lang w:bidi="ar"/>
        </w:rPr>
        <w:t xml:space="preserve">3 </w:t>
      </w:r>
      <w:r>
        <w:rPr>
          <w:rFonts w:hint="eastAsia" w:eastAsia="仿宋_GB2312"/>
          <w:sz w:val="22"/>
          <w:szCs w:val="22"/>
          <w:lang w:bidi="ar"/>
        </w:rPr>
        <w:t>水果选择分级</w:t>
      </w:r>
    </w:p>
    <w:tbl>
      <w:tblPr>
        <w:tblStyle w:val="9"/>
        <w:tblW w:w="8273" w:type="dxa"/>
        <w:jc w:val="center"/>
        <w:tblBorders>
          <w:top w:val="single" w:color="auto" w:sz="8" w:space="0"/>
          <w:left w:val="none" w:color="auto" w:sz="4" w:space="0"/>
          <w:bottom w:val="single" w:color="auto" w:sz="8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20"/>
        <w:gridCol w:w="2445"/>
        <w:gridCol w:w="1979"/>
        <w:gridCol w:w="1000"/>
      </w:tblGrid>
      <w:tr w14:paraId="3EEB1492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7110A58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等级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31D34C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优选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31E96D3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适当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4B92BF3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限制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6CFE9AB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禁止</w:t>
            </w:r>
          </w:p>
        </w:tc>
      </w:tr>
      <w:tr w14:paraId="1BDB1066">
        <w:tblPrEx>
          <w:tblBorders>
            <w:top w:val="single" w:color="auto" w:sz="8" w:space="0"/>
            <w:left w:val="none" w:color="auto" w:sz="4" w:space="0"/>
            <w:bottom w:val="single" w:color="auto" w:sz="8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70EBA1CD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水果示例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5141A8A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柚子、番石榴、黄皮、木瓜、莲雾、百香果、杨桃、橄榄、圣女果、苹果、西梅、蓝莓、草莓、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40EDF551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火龙果、猕猴桃、无花果、山竹、李子、梨、脆桃、提子（红提/黑提/青提）、橙子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2C69029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芒果、香蕉、橘子、葡萄、菠萝、杨梅、樱桃、荔枝、龙眼、释迦、哈密瓜、西瓜、葡萄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14:paraId="216755C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甘蔗、波罗蜜、榴莲</w:t>
            </w:r>
          </w:p>
        </w:tc>
      </w:tr>
    </w:tbl>
    <w:p w14:paraId="4E30BAAE">
      <w:pPr>
        <w:autoSpaceDE w:val="0"/>
        <w:adjustRightInd w:val="0"/>
        <w:spacing w:line="360" w:lineRule="auto"/>
        <w:ind w:firstLine="440" w:firstLineChars="200"/>
        <w:rPr>
          <w:rFonts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  <w:lang w:bidi="ar"/>
        </w:rPr>
        <w:t>注：尽量在优选和适当类别中选择当季、新鲜的本地水果，每周不超过三次被认定为“适当”，每周不超过一次定义为“限制”</w:t>
      </w:r>
    </w:p>
    <w:p w14:paraId="3A34A707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4"/>
          <w:lang w:bidi="ar"/>
        </w:rPr>
      </w:pPr>
    </w:p>
    <w:p w14:paraId="18B446C3">
      <w:pPr>
        <w:autoSpaceDE w:val="0"/>
        <w:adjustRightInd w:val="0"/>
        <w:spacing w:line="360" w:lineRule="auto"/>
        <w:jc w:val="center"/>
        <w:rPr>
          <w:rFonts w:eastAsia="仿宋_GB2312"/>
          <w:sz w:val="22"/>
          <w:szCs w:val="24"/>
          <w:lang w:bidi="ar"/>
        </w:rPr>
      </w:pPr>
      <w:r>
        <w:rPr>
          <w:rFonts w:hint="eastAsia" w:eastAsia="仿宋_GB2312"/>
          <w:sz w:val="22"/>
          <w:szCs w:val="24"/>
          <w:lang w:bidi="ar"/>
        </w:rPr>
        <w:t>附表</w:t>
      </w:r>
      <w:r>
        <w:rPr>
          <w:rFonts w:eastAsia="仿宋_GB2312"/>
          <w:sz w:val="22"/>
          <w:szCs w:val="24"/>
          <w:lang w:bidi="ar"/>
        </w:rPr>
        <w:t xml:space="preserve">4 </w:t>
      </w:r>
      <w:r>
        <w:rPr>
          <w:rFonts w:hint="eastAsia" w:eastAsia="仿宋_GB2312"/>
          <w:sz w:val="22"/>
          <w:szCs w:val="24"/>
          <w:lang w:bidi="ar"/>
        </w:rPr>
        <w:t>豆制品转换表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6"/>
        <w:gridCol w:w="4893"/>
      </w:tblGrid>
      <w:tr w14:paraId="62ED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E7B951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4"/>
                <w:lang w:bidi="ar"/>
              </w:rPr>
            </w:pPr>
            <w:r>
              <w:rPr>
                <w:rFonts w:hint="eastAsia" w:eastAsia="仿宋_GB2312"/>
                <w:sz w:val="22"/>
                <w:szCs w:val="24"/>
                <w:lang w:bidi="ar"/>
              </w:rPr>
              <w:t>豆制品名称</w:t>
            </w:r>
          </w:p>
        </w:tc>
        <w:tc>
          <w:tcPr>
            <w:tcW w:w="28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7EB3A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4"/>
                <w:lang w:bidi="ar"/>
              </w:rPr>
            </w:pPr>
            <w:r>
              <w:rPr>
                <w:rFonts w:hint="eastAsia" w:eastAsia="仿宋_GB2312"/>
                <w:sz w:val="22"/>
                <w:szCs w:val="24"/>
                <w:lang w:bidi="ar"/>
              </w:rPr>
              <w:t>每</w:t>
            </w:r>
            <w:r>
              <w:rPr>
                <w:rFonts w:eastAsia="仿宋_GB2312"/>
                <w:sz w:val="22"/>
                <w:szCs w:val="24"/>
                <w:lang w:bidi="ar"/>
              </w:rPr>
              <w:t>100</w:t>
            </w:r>
            <w:r>
              <w:rPr>
                <w:rFonts w:hint="eastAsia" w:eastAsia="仿宋_GB2312"/>
                <w:sz w:val="22"/>
                <w:szCs w:val="24"/>
                <w:lang w:bidi="ar"/>
              </w:rPr>
              <w:t xml:space="preserve"> </w:t>
            </w:r>
            <w:r>
              <w:rPr>
                <w:rFonts w:eastAsia="仿宋_GB2312"/>
                <w:sz w:val="22"/>
                <w:szCs w:val="24"/>
                <w:lang w:bidi="ar"/>
              </w:rPr>
              <w:t>g</w:t>
            </w:r>
            <w:r>
              <w:rPr>
                <w:rFonts w:hint="eastAsia" w:eastAsia="仿宋_GB2312"/>
                <w:sz w:val="22"/>
                <w:szCs w:val="24"/>
                <w:lang w:bidi="ar"/>
              </w:rPr>
              <w:t>对应干豆量（克）</w:t>
            </w:r>
          </w:p>
        </w:tc>
      </w:tr>
      <w:tr w14:paraId="6C04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50FA2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南豆腐</w:t>
            </w:r>
          </w:p>
        </w:tc>
        <w:tc>
          <w:tcPr>
            <w:tcW w:w="2871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CE25B32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18.18</w:t>
            </w:r>
          </w:p>
        </w:tc>
      </w:tr>
      <w:tr w14:paraId="4174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05DF7C5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北豆腐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032260A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34.48</w:t>
            </w:r>
          </w:p>
        </w:tc>
      </w:tr>
      <w:tr w14:paraId="7D19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385AD67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豆浆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6D86560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6.85</w:t>
            </w:r>
          </w:p>
        </w:tc>
      </w:tr>
      <w:tr w14:paraId="77F9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2C41943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内脂豆腐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35245B97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14.29</w:t>
            </w:r>
          </w:p>
        </w:tc>
      </w:tr>
      <w:tr w14:paraId="6A09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7B75F3E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豆腐干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36777D7F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45.45</w:t>
            </w:r>
          </w:p>
        </w:tc>
      </w:tr>
      <w:tr w14:paraId="6FE5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76C7EF93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素鸡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5E5ACEA6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47.62</w:t>
            </w:r>
          </w:p>
        </w:tc>
      </w:tr>
      <w:tr w14:paraId="3BE9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4E29D385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腐竹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44F79BD8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120</w:t>
            </w:r>
          </w:p>
        </w:tc>
      </w:tr>
      <w:tr w14:paraId="7902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14:paraId="28CAE359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油豆腐</w:t>
            </w:r>
          </w:p>
        </w:tc>
        <w:tc>
          <w:tcPr>
            <w:tcW w:w="2871" w:type="pct"/>
            <w:tcBorders>
              <w:top w:val="nil"/>
              <w:left w:val="nil"/>
              <w:bottom w:val="nil"/>
              <w:right w:val="nil"/>
            </w:tcBorders>
          </w:tcPr>
          <w:p w14:paraId="29BFE50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50</w:t>
            </w:r>
          </w:p>
        </w:tc>
      </w:tr>
      <w:tr w14:paraId="7795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D68BEC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豆腐丝</w:t>
            </w:r>
          </w:p>
        </w:tc>
        <w:tc>
          <w:tcPr>
            <w:tcW w:w="2871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728B20">
            <w:pPr>
              <w:autoSpaceDE w:val="0"/>
              <w:adjustRightInd w:val="0"/>
              <w:spacing w:line="360" w:lineRule="auto"/>
              <w:jc w:val="center"/>
              <w:rPr>
                <w:rFonts w:eastAsia="仿宋_GB2312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sz w:val="22"/>
                <w:szCs w:val="22"/>
                <w:lang w:bidi="ar"/>
              </w:rPr>
              <w:t>62.5</w:t>
            </w:r>
          </w:p>
        </w:tc>
      </w:tr>
    </w:tbl>
    <w:p w14:paraId="23EBA944">
      <w:r>
        <w:rPr>
          <w:rFonts w:hint="eastAsia"/>
        </w:rPr>
        <w:t>注释：优先选择蒸、煮、炖、凉拌等低脂方式制作的豆制品，避免油炸、红烧等高油高糖做法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B082D"/>
    <w:multiLevelType w:val="singleLevel"/>
    <w:tmpl w:val="BFFB08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4F944D5"/>
    <w:multiLevelType w:val="multilevel"/>
    <w:tmpl w:val="44F944D5"/>
    <w:lvl w:ilvl="0" w:tentative="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49337545"/>
    <w:multiLevelType w:val="multilevel"/>
    <w:tmpl w:val="49337545"/>
    <w:lvl w:ilvl="0" w:tentative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F1"/>
    <w:rsid w:val="002223F1"/>
    <w:rsid w:val="006F049C"/>
    <w:rsid w:val="009401E9"/>
    <w:rsid w:val="09EC595A"/>
    <w:rsid w:val="1EA93D72"/>
    <w:rsid w:val="30831A2B"/>
    <w:rsid w:val="34206BA1"/>
    <w:rsid w:val="3A6B6FE1"/>
    <w:rsid w:val="3AF15E19"/>
    <w:rsid w:val="4231527D"/>
    <w:rsid w:val="49D912D5"/>
    <w:rsid w:val="52AC31BA"/>
    <w:rsid w:val="5F11185C"/>
    <w:rsid w:val="612B6336"/>
    <w:rsid w:val="6E7B3B62"/>
    <w:rsid w:val="6F1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2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批注文字 字符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文字 字符1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Body text|1"/>
    <w:basedOn w:val="1"/>
    <w:qFormat/>
    <w:uiPriority w:val="0"/>
    <w:rPr>
      <w:rFonts w:ascii="宋体" w:hAnsi="宋体" w:cs="宋体"/>
      <w:lang w:val="zh-TW" w:eastAsia="zh-TW" w:bidi="zh-TW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2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0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4230</Words>
  <Characters>4569</Characters>
  <Lines>265</Lines>
  <Paragraphs>364</Paragraphs>
  <TotalTime>55</TotalTime>
  <ScaleCrop>false</ScaleCrop>
  <LinksUpToDate>false</LinksUpToDate>
  <CharactersWithSpaces>4632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2025-09-26T01:56:00Z</dcterms:created>
  <dc:creator>Feng</dc:creator>
  <cp:lastModifiedBy>上扬的微笑</cp:lastModifiedBy>
  <cp:lastPrinted>2025-08-08T08:54:00Z</cp:lastPrinted>
  <dcterms:modified xsi:type="dcterms:W3CDTF">2025-11-10T08:11:34Z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2310799E61684C6FB05F1465A3E8C582</vt:lpwstr>
  </property>
  <property fmtid="{D5CDD505-2E9C-101B-9397-08002B2CF9AE}" pid="4" name="KSOTemplateDocerSaveRecord">
    <vt:lpwstr>eyJoZGlkIjoiNzk2OGZmMDJlYjVmNGI0NzA3NTM2ZDgyMDM2MmQwODkiLCJ1c2VySWQiOiI0NDk4NjQ2MzgifQ==</vt:lpwstr>
  </property>
</Properties>
</file>