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B7F66">
      <w:pPr>
        <w:tabs>
          <w:tab w:val="right" w:pos="9524"/>
        </w:tabs>
        <w:spacing w:line="360" w:lineRule="exact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致：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/>
          <w:lang w:val="en-US" w:eastAsia="zh-CN"/>
        </w:rPr>
        <w:t>广州市番禺区健康管理中心（广州市番禺区康复医院）</w:t>
      </w:r>
    </w:p>
    <w:p w14:paraId="7CD03088">
      <w:pPr>
        <w:tabs>
          <w:tab w:val="right" w:pos="9524"/>
        </w:tabs>
        <w:spacing w:line="360" w:lineRule="exact"/>
        <w:ind w:firstLine="643" w:firstLineChars="200"/>
        <w:jc w:val="center"/>
        <w:rPr>
          <w:rFonts w:hint="eastAsia" w:ascii="宋体" w:hAnsi="宋体" w:cs="Calibri"/>
          <w:b/>
          <w:color w:val="000000"/>
          <w:sz w:val="32"/>
          <w:szCs w:val="32"/>
        </w:rPr>
      </w:pPr>
    </w:p>
    <w:p w14:paraId="1EE38D35"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4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  <w:t>报价单</w:t>
      </w:r>
    </w:p>
    <w:p w14:paraId="238D057C">
      <w:pPr>
        <w:tabs>
          <w:tab w:val="right" w:pos="9524"/>
        </w:tabs>
        <w:spacing w:line="360" w:lineRule="exact"/>
        <w:rPr>
          <w:rFonts w:ascii="宋体" w:hAnsi="宋体" w:cs="Calibri"/>
          <w:b/>
          <w:color w:val="000000"/>
          <w:szCs w:val="21"/>
        </w:rPr>
      </w:pPr>
    </w:p>
    <w:p w14:paraId="7367AC71">
      <w:pPr>
        <w:tabs>
          <w:tab w:val="right" w:pos="9524"/>
        </w:tabs>
        <w:spacing w:line="360" w:lineRule="exact"/>
        <w:ind w:firstLine="422" w:firstLineChars="200"/>
        <w:rPr>
          <w:rFonts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</w:rPr>
        <w:t>一、项目名称：广州市番禺区健康管理中心（广州市番禺区康复医院）</w:t>
      </w:r>
      <w:r>
        <w:rPr>
          <w:rFonts w:hint="eastAsia" w:ascii="宋体" w:hAnsi="宋体" w:cs="Calibri"/>
          <w:b/>
          <w:color w:val="000000"/>
          <w:szCs w:val="21"/>
          <w:lang w:val="en-US" w:eastAsia="zh-CN"/>
        </w:rPr>
        <w:t>蓬莱区和桃源区电梯维保</w:t>
      </w:r>
      <w:r>
        <w:rPr>
          <w:rFonts w:hint="eastAsia" w:ascii="宋体" w:hAnsi="宋体" w:cs="Calibri"/>
          <w:b/>
          <w:color w:val="000000"/>
          <w:szCs w:val="21"/>
        </w:rPr>
        <w:t>项目</w:t>
      </w:r>
    </w:p>
    <w:p w14:paraId="41DA93AD">
      <w:pPr>
        <w:tabs>
          <w:tab w:val="right" w:pos="9524"/>
        </w:tabs>
        <w:spacing w:line="360" w:lineRule="exact"/>
        <w:ind w:firstLine="422" w:firstLineChars="200"/>
        <w:rPr>
          <w:rFonts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</w:rPr>
        <w:t>二、项目要求</w:t>
      </w:r>
    </w:p>
    <w:p w14:paraId="7860FC6C">
      <w:pPr>
        <w:tabs>
          <w:tab w:val="right" w:pos="9524"/>
        </w:tabs>
        <w:spacing w:line="360" w:lineRule="exact"/>
        <w:ind w:firstLine="422" w:firstLineChars="201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1、________________公司承诺提供的服务满足</w:t>
      </w:r>
      <w:r>
        <w:rPr>
          <w:rFonts w:hint="eastAsia" w:ascii="宋体" w:hAnsi="宋体" w:cs="Calibri"/>
          <w:color w:val="000000"/>
          <w:szCs w:val="21"/>
          <w:lang w:eastAsia="zh-CN"/>
        </w:rPr>
        <w:t>区</w:t>
      </w:r>
      <w:r>
        <w:rPr>
          <w:rFonts w:hint="eastAsia" w:ascii="宋体" w:hAnsi="宋体" w:cs="Calibri"/>
          <w:color w:val="000000"/>
          <w:szCs w:val="21"/>
        </w:rPr>
        <w:t>健康中心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电梯维保</w:t>
      </w:r>
      <w:r>
        <w:rPr>
          <w:rFonts w:hint="eastAsia" w:ascii="宋体" w:hAnsi="宋体" w:cs="Calibri"/>
          <w:color w:val="000000"/>
          <w:szCs w:val="21"/>
        </w:rPr>
        <w:t>要求。</w:t>
      </w:r>
    </w:p>
    <w:p w14:paraId="51D6F9B9">
      <w:pPr>
        <w:tabs>
          <w:tab w:val="right" w:pos="9524"/>
        </w:tabs>
        <w:spacing w:line="360" w:lineRule="exact"/>
        <w:ind w:firstLine="422" w:firstLineChars="201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2、供应商提供每台电梯保额为</w:t>
      </w:r>
      <w:r>
        <w:rPr>
          <w:rFonts w:hint="eastAsia" w:ascii="宋体" w:hAnsi="宋体" w:cs="Calibri"/>
          <w:color w:val="000000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元的“特种设备责任保险”第三方责任险。</w:t>
      </w:r>
    </w:p>
    <w:p w14:paraId="0363172E">
      <w:pPr>
        <w:tabs>
          <w:tab w:val="right" w:pos="9524"/>
        </w:tabs>
        <w:spacing w:line="360" w:lineRule="exact"/>
        <w:ind w:firstLine="422" w:firstLineChars="201"/>
        <w:rPr>
          <w:rFonts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3</w:t>
      </w:r>
      <w:r>
        <w:rPr>
          <w:rFonts w:hint="eastAsia" w:ascii="宋体" w:hAnsi="宋体" w:cs="Calibri"/>
          <w:color w:val="000000"/>
          <w:szCs w:val="21"/>
        </w:rPr>
        <w:t>、各类证照齐全、合规，经营范围及服务资质完备。</w:t>
      </w:r>
    </w:p>
    <w:p w14:paraId="6F003D21">
      <w:pPr>
        <w:tabs>
          <w:tab w:val="right" w:pos="9524"/>
        </w:tabs>
        <w:spacing w:line="360" w:lineRule="exact"/>
        <w:ind w:firstLine="422" w:firstLineChars="201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4</w:t>
      </w:r>
      <w:r>
        <w:rPr>
          <w:rFonts w:hint="eastAsia" w:ascii="宋体" w:hAnsi="宋体" w:cs="Calibri"/>
          <w:color w:val="000000"/>
          <w:szCs w:val="21"/>
        </w:rPr>
        <w:t>、项目期限：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2026年9月29日至2027年12月31日</w:t>
      </w:r>
      <w:r>
        <w:rPr>
          <w:rFonts w:hint="eastAsia" w:ascii="宋体" w:hAnsi="宋体" w:cs="Calibri"/>
          <w:color w:val="000000"/>
          <w:szCs w:val="21"/>
        </w:rPr>
        <w:t>。</w:t>
      </w:r>
    </w:p>
    <w:p w14:paraId="60D8E2B4">
      <w:pPr>
        <w:spacing w:line="276" w:lineRule="auto"/>
        <w:ind w:firstLine="411" w:firstLineChars="196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5、供应商在维保过程中，如给</w:t>
      </w:r>
      <w:r>
        <w:rPr>
          <w:rFonts w:hint="eastAsia"/>
          <w:lang w:val="en-US" w:eastAsia="zh-CN"/>
        </w:rPr>
        <w:t>区</w:t>
      </w:r>
      <w:r>
        <w:rPr>
          <w:rFonts w:hint="eastAsia"/>
          <w:lang w:eastAsia="zh-CN"/>
        </w:rPr>
        <w:t>健康中心</w:t>
      </w:r>
      <w:r>
        <w:rPr>
          <w:rFonts w:hint="eastAsia" w:ascii="宋体" w:hAnsi="宋体" w:eastAsia="宋体" w:cs="Times New Roman"/>
          <w:szCs w:val="21"/>
          <w:lang w:val="en-US" w:eastAsia="zh-CN"/>
        </w:rPr>
        <w:t>环境造成破坏，应恢复原状，造成</w:t>
      </w:r>
      <w:r>
        <w:rPr>
          <w:rFonts w:hint="eastAsia"/>
          <w:lang w:val="en-US" w:eastAsia="zh-CN"/>
        </w:rPr>
        <w:t>区</w:t>
      </w:r>
      <w:r>
        <w:rPr>
          <w:rFonts w:hint="eastAsia"/>
          <w:lang w:eastAsia="zh-CN"/>
        </w:rPr>
        <w:t>健康中心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其它损失的应承担赔偿责任。</w:t>
      </w:r>
    </w:p>
    <w:p w14:paraId="6D846ED2">
      <w:pPr>
        <w:spacing w:line="276" w:lineRule="auto"/>
        <w:ind w:firstLine="411" w:firstLineChars="196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6、供应商在维保过程中，应当采取相应安全防范措施，不得影响中心场地日常管理秩序。清洁干净现场场地。</w:t>
      </w:r>
    </w:p>
    <w:p w14:paraId="3439FCC6">
      <w:pPr>
        <w:spacing w:line="276" w:lineRule="auto"/>
        <w:ind w:firstLine="411" w:firstLineChars="196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7、在电梯维保合同有效期内，若电梯因长期停用（连续停用超过30天）、拆除或因其他原因确无需继续维保的，维保服务费用按实际提供维保服务的月份进行结算，停用期间不收取维保费用。</w:t>
      </w:r>
    </w:p>
    <w:p w14:paraId="302FA106">
      <w:pPr>
        <w:tabs>
          <w:tab w:val="right" w:pos="9524"/>
        </w:tabs>
        <w:spacing w:line="360" w:lineRule="exact"/>
        <w:ind w:firstLine="422" w:firstLineChars="200"/>
        <w:rPr>
          <w:rFonts w:hint="eastAsia"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</w:rPr>
        <w:t>三、项目内容</w:t>
      </w:r>
    </w:p>
    <w:p w14:paraId="285CDBE2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1、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供应商</w:t>
      </w:r>
      <w:r>
        <w:rPr>
          <w:rFonts w:hint="eastAsia" w:ascii="宋体" w:hAnsi="宋体" w:cs="Calibri"/>
          <w:color w:val="000000"/>
          <w:szCs w:val="21"/>
          <w:lang w:eastAsia="zh-CN"/>
        </w:rPr>
        <w:t>进行电梯维护保养时，应尽量安排在非客流高峰时段进行，以避免影响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区健康中心</w:t>
      </w:r>
      <w:r>
        <w:rPr>
          <w:rFonts w:hint="eastAsia" w:ascii="宋体" w:hAnsi="宋体" w:cs="Calibri"/>
          <w:color w:val="000000"/>
          <w:szCs w:val="21"/>
          <w:lang w:eastAsia="zh-CN"/>
        </w:rPr>
        <w:t>正常经营及客人使用，具体维保时间由双方协商确定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方</w:t>
      </w:r>
      <w:r>
        <w:rPr>
          <w:rFonts w:hint="eastAsia" w:ascii="宋体" w:hAnsi="宋体" w:cs="Calibri"/>
          <w:color w:val="000000"/>
          <w:szCs w:val="21"/>
          <w:lang w:eastAsia="zh-CN"/>
        </w:rPr>
        <w:t>可开展维保作业</w:t>
      </w:r>
      <w:r>
        <w:rPr>
          <w:rFonts w:hint="eastAsia" w:ascii="宋体" w:hAnsi="宋体" w:cs="Calibri"/>
          <w:color w:val="000000"/>
          <w:szCs w:val="21"/>
        </w:rPr>
        <w:t>；</w:t>
      </w:r>
    </w:p>
    <w:p w14:paraId="2480CE82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2、供应商</w:t>
      </w:r>
      <w:r>
        <w:rPr>
          <w:rFonts w:hint="eastAsia" w:ascii="宋体" w:hAnsi="宋体" w:cs="Calibri"/>
          <w:color w:val="000000"/>
          <w:szCs w:val="21"/>
        </w:rPr>
        <w:t>应于每次维保前三日向区健康中心提交电梯维护保养计划，经确认后方可实施。维保计划应至少包含本次维保的具体电梯台数、计划维保日期及预计起止时间、维保项目类别（半月保/季度保/半年保/年度保）、维保作业人员安排等。</w:t>
      </w:r>
    </w:p>
    <w:p w14:paraId="6185BA67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3</w:t>
      </w:r>
      <w:r>
        <w:rPr>
          <w:rFonts w:hint="eastAsia" w:ascii="宋体" w:hAnsi="宋体" w:cs="Calibri"/>
          <w:color w:val="000000"/>
          <w:szCs w:val="21"/>
        </w:rPr>
        <w:t>、</w:t>
      </w:r>
      <w:r>
        <w:rPr>
          <w:rFonts w:hint="eastAsia" w:ascii="宋体" w:hAnsi="宋体" w:cs="Calibri"/>
          <w:color w:val="000000"/>
          <w:szCs w:val="21"/>
          <w:lang w:eastAsia="zh-CN"/>
        </w:rPr>
        <w:t>供应商</w:t>
      </w:r>
      <w:r>
        <w:rPr>
          <w:rFonts w:hint="eastAsia" w:ascii="宋体" w:hAnsi="宋体" w:cs="Calibri"/>
          <w:color w:val="000000"/>
          <w:szCs w:val="21"/>
        </w:rPr>
        <w:t>提供每月2次的预防性保养服务</w:t>
      </w:r>
      <w:r>
        <w:rPr>
          <w:rFonts w:hint="eastAsia" w:ascii="宋体" w:hAnsi="宋体" w:cs="Calibri"/>
          <w:color w:val="000000"/>
          <w:szCs w:val="21"/>
          <w:lang w:eastAsia="zh-CN"/>
        </w:rPr>
        <w:t>，</w:t>
      </w:r>
      <w:r>
        <w:rPr>
          <w:rFonts w:hint="eastAsia" w:ascii="宋体" w:hAnsi="宋体" w:cs="Calibri"/>
          <w:color w:val="000000"/>
          <w:szCs w:val="21"/>
        </w:rPr>
        <w:t>每次每台电梯的保养时间不少于30分钟</w:t>
      </w:r>
      <w:r>
        <w:rPr>
          <w:rFonts w:hint="eastAsia" w:ascii="宋体" w:hAnsi="宋体" w:cs="Calibri"/>
          <w:color w:val="000000"/>
          <w:szCs w:val="21"/>
          <w:lang w:eastAsia="zh-CN"/>
        </w:rPr>
        <w:t>并做好维护保养记录</w:t>
      </w:r>
      <w:r>
        <w:rPr>
          <w:rFonts w:hint="eastAsia" w:ascii="宋体" w:hAnsi="宋体" w:cs="Calibri"/>
          <w:color w:val="000000"/>
          <w:szCs w:val="21"/>
        </w:rPr>
        <w:t>。月度保养项目为31项，季度保养项目为44项，半年度保养项目为59项，年度保养项目为7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6</w:t>
      </w:r>
      <w:r>
        <w:rPr>
          <w:rFonts w:hint="eastAsia" w:ascii="宋体" w:hAnsi="宋体" w:cs="Calibri"/>
          <w:color w:val="000000"/>
          <w:szCs w:val="21"/>
        </w:rPr>
        <w:t>项</w:t>
      </w:r>
      <w:r>
        <w:rPr>
          <w:rFonts w:hint="eastAsia" w:ascii="宋体" w:hAnsi="宋体" w:cs="Calibri"/>
          <w:color w:val="000000"/>
          <w:szCs w:val="21"/>
          <w:lang w:eastAsia="zh-CN"/>
        </w:rPr>
        <w:t>，详情见附件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A</w:t>
      </w:r>
      <w:r>
        <w:rPr>
          <w:rFonts w:hint="eastAsia" w:ascii="宋体" w:hAnsi="宋体" w:cs="Calibri"/>
          <w:color w:val="000000"/>
          <w:szCs w:val="21"/>
        </w:rPr>
        <w:t>。</w:t>
      </w:r>
    </w:p>
    <w:p w14:paraId="2F753FA8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4</w:t>
      </w:r>
      <w:r>
        <w:rPr>
          <w:rFonts w:hint="eastAsia" w:ascii="宋体" w:hAnsi="宋体" w:cs="Calibri"/>
          <w:color w:val="000000"/>
          <w:szCs w:val="21"/>
        </w:rPr>
        <w:t>、供应商提供24小时紧急的应急</w:t>
      </w:r>
      <w:bookmarkStart w:id="0" w:name="_GoBack"/>
      <w:bookmarkEnd w:id="0"/>
      <w:r>
        <w:rPr>
          <w:rFonts w:hint="eastAsia" w:ascii="宋体" w:hAnsi="宋体" w:cs="Calibri"/>
          <w:color w:val="000000"/>
          <w:szCs w:val="21"/>
        </w:rPr>
        <w:t>处理，在接到</w:t>
      </w:r>
      <w:r>
        <w:rPr>
          <w:rFonts w:hint="eastAsia" w:ascii="宋体" w:hAnsi="宋体" w:cs="Calibri"/>
          <w:color w:val="000000"/>
          <w:szCs w:val="21"/>
          <w:lang w:eastAsia="zh-CN"/>
        </w:rPr>
        <w:t>区</w:t>
      </w:r>
      <w:r>
        <w:rPr>
          <w:rFonts w:hint="eastAsia" w:ascii="宋体" w:hAnsi="宋体" w:cs="Calibri"/>
          <w:color w:val="000000"/>
          <w:szCs w:val="21"/>
        </w:rPr>
        <w:t>健康中心紧急召修（电梯内困人）通知后30分钟内到达现场解救被困人员；</w:t>
      </w:r>
      <w:r>
        <w:rPr>
          <w:rFonts w:hint="eastAsia" w:ascii="宋体" w:hAnsi="宋体" w:cs="Calibri"/>
          <w:color w:val="000000"/>
          <w:szCs w:val="21"/>
          <w:lang w:eastAsia="zh-CN"/>
        </w:rPr>
        <w:t>如</w:t>
      </w:r>
      <w:r>
        <w:rPr>
          <w:rFonts w:hint="eastAsia" w:ascii="宋体" w:hAnsi="宋体" w:cs="Calibri"/>
          <w:color w:val="000000"/>
          <w:szCs w:val="21"/>
        </w:rPr>
        <w:t>电梯出现故障，在接到</w:t>
      </w:r>
      <w:r>
        <w:rPr>
          <w:rFonts w:hint="eastAsia" w:ascii="宋体" w:hAnsi="宋体" w:cs="Calibri"/>
          <w:color w:val="000000"/>
          <w:szCs w:val="21"/>
          <w:lang w:eastAsia="zh-CN"/>
        </w:rPr>
        <w:t>区</w:t>
      </w:r>
      <w:r>
        <w:rPr>
          <w:rFonts w:hint="eastAsia" w:ascii="宋体" w:hAnsi="宋体" w:cs="Calibri"/>
          <w:color w:val="000000"/>
          <w:szCs w:val="21"/>
        </w:rPr>
        <w:t>健康中心通知后60分钟内维保人员到达现场维修。</w:t>
      </w:r>
    </w:p>
    <w:p w14:paraId="088A31CB">
      <w:pPr>
        <w:tabs>
          <w:tab w:val="right" w:pos="9524"/>
        </w:tabs>
        <w:spacing w:line="360" w:lineRule="exact"/>
        <w:ind w:firstLine="422" w:firstLineChars="200"/>
        <w:rPr>
          <w:rFonts w:hint="eastAsia" w:ascii="宋体" w:hAnsi="宋体" w:eastAsia="宋体" w:cs="Calibri"/>
          <w:b/>
          <w:color w:val="000000"/>
          <w:szCs w:val="21"/>
          <w:lang w:eastAsia="zh-CN"/>
        </w:rPr>
      </w:pPr>
      <w:r>
        <w:rPr>
          <w:rFonts w:hint="eastAsia" w:ascii="宋体" w:hAnsi="宋体" w:cs="Calibri"/>
          <w:b/>
          <w:color w:val="000000"/>
          <w:szCs w:val="21"/>
        </w:rPr>
        <w:t>四、项目费用报价</w:t>
      </w:r>
      <w:r>
        <w:rPr>
          <w:rFonts w:hint="eastAsia" w:ascii="宋体" w:hAnsi="宋体" w:cs="Calibri"/>
          <w:b/>
          <w:color w:val="000000"/>
          <w:szCs w:val="21"/>
          <w:lang w:eastAsia="zh-CN"/>
        </w:rPr>
        <w:t>（注：以下报价为含税价）</w:t>
      </w:r>
    </w:p>
    <w:tbl>
      <w:tblPr>
        <w:tblStyle w:val="7"/>
        <w:tblW w:w="5329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2578"/>
        <w:gridCol w:w="689"/>
        <w:gridCol w:w="726"/>
        <w:gridCol w:w="681"/>
        <w:gridCol w:w="842"/>
        <w:gridCol w:w="797"/>
        <w:gridCol w:w="635"/>
        <w:gridCol w:w="798"/>
        <w:gridCol w:w="902"/>
        <w:gridCol w:w="2316"/>
      </w:tblGrid>
      <w:tr w14:paraId="0068D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 w:hRule="atLeast"/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B1595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序号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6FA0A4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设备</w:t>
            </w: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类型/设备代码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51E66E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层</w:t>
            </w: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/站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AA73">
            <w:pPr>
              <w:widowControl/>
              <w:jc w:val="center"/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载重</w:t>
            </w:r>
          </w:p>
          <w:p w14:paraId="5114FBEB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KG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1A278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速度</w:t>
            </w: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M/S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D9A0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服务期（月）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4986D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单价/月（元）</w:t>
            </w: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47A16">
            <w:pPr>
              <w:widowControl/>
              <w:jc w:val="center"/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台数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215A2">
            <w:pPr>
              <w:widowControl/>
              <w:jc w:val="center"/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小计金额</w:t>
            </w: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（元）</w:t>
            </w: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28FB5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设备位置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412B">
            <w:pPr>
              <w:widowControl/>
              <w:jc w:val="center"/>
              <w:rPr>
                <w:rFonts w:hint="default" w:ascii="宋体" w:hAnsi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维保日期</w:t>
            </w:r>
          </w:p>
        </w:tc>
      </w:tr>
      <w:tr w14:paraId="6F121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09E9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1.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901A00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66CADEAD">
            <w:pPr>
              <w:widowControl/>
              <w:jc w:val="center"/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23G056333</w:t>
            </w:r>
          </w:p>
          <w:p w14:paraId="2ABE1F47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202407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0035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A0EF03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0A517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7204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F241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023A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098C5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3866A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7A6B5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桃源区7号楼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7D55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2026/9/29-2027/12/31</w:t>
            </w:r>
          </w:p>
        </w:tc>
      </w:tr>
      <w:tr w14:paraId="510C1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F137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2.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C04EA0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31999FB7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23G056334</w:t>
            </w:r>
          </w:p>
          <w:p w14:paraId="5ADFAED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202407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0036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E5C761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27C6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B80DB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D471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092A4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73B16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2443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998C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桃源区10号楼室内电梯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250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2026/9/29-2027/12/31</w:t>
            </w:r>
          </w:p>
        </w:tc>
      </w:tr>
      <w:tr w14:paraId="4760D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B9302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3.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AE15E6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68ABE654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23G056325</w:t>
            </w:r>
          </w:p>
          <w:p w14:paraId="06DDF465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202405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0056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BB0690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3/3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5E35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C5F6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2FEB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A021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7EC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EE22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2D95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蓬莱区5号楼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8EEC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2026/10/12-2027/12/31</w:t>
            </w:r>
          </w:p>
        </w:tc>
      </w:tr>
      <w:tr w14:paraId="6570A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B4A9D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4.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276507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56936906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23G056327</w:t>
            </w:r>
          </w:p>
          <w:p w14:paraId="2BCD916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202405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0057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98B2E0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5657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842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EA83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F85CC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AC7C0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4ED9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CBE0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蓬莱区6号楼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DAB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2026/10/12-2027/12/31</w:t>
            </w:r>
          </w:p>
        </w:tc>
      </w:tr>
      <w:tr w14:paraId="6787B2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6A96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5.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399489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18F5D934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23G056331</w:t>
            </w:r>
          </w:p>
          <w:p w14:paraId="258FE96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202407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0033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934ACE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3/3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AC608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6C49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E7AB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0B1A4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9450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6B97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9E9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桃源区9号楼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5459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2026/10/16-2027/12/31</w:t>
            </w:r>
          </w:p>
        </w:tc>
      </w:tr>
      <w:tr w14:paraId="5D339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DD5DD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6.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1C03CB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4DA2F81C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23G056332</w:t>
            </w:r>
          </w:p>
          <w:p w14:paraId="58791E7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202407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0034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F998D4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1B4A6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9EC0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672AA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9EC8E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ACE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5DA1A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2117C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桃源区8号楼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2074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2026/10/16-2027/12/31</w:t>
            </w:r>
          </w:p>
        </w:tc>
      </w:tr>
      <w:tr w14:paraId="2CC19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0D09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7.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FE2D79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220A8954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23G056329</w:t>
            </w:r>
          </w:p>
          <w:p w14:paraId="367DC844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202406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0009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3FF8A3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3/3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855D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BBC67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B8755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87FF3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D3BF8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C296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FAE9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蓬莱区1号楼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677D9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2026/10/19-2027/12/31</w:t>
            </w:r>
          </w:p>
        </w:tc>
      </w:tr>
      <w:tr w14:paraId="3212F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7709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8.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4257F7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6CAF3B53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23G056330</w:t>
            </w:r>
          </w:p>
          <w:p w14:paraId="4F85927A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3110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202406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0021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5185F1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E2A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5139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1428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14.5个月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59A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2885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96F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3815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蓬莱区2号楼室内电梯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F9C3B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2026/10/19-2027/12/31</w:t>
            </w:r>
          </w:p>
        </w:tc>
      </w:tr>
      <w:tr w14:paraId="31FE2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3E7E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9.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F18BC2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160BF119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23G056324</w:t>
            </w:r>
          </w:p>
          <w:p w14:paraId="36CD52C3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202409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0038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806EC9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EB6D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7E4B7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E5268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12.5个月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FFF69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16D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CA24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DB0EB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桃源区7号楼旁室外电梯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1C506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2026/12/17-2027/12/31</w:t>
            </w:r>
          </w:p>
        </w:tc>
      </w:tr>
      <w:tr w14:paraId="75A4E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0AF67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10.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3797C5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16824675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23G056326</w:t>
            </w:r>
          </w:p>
          <w:p w14:paraId="6D4127C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202409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0039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831CF8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F4B93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825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B06C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66B2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12.5个月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3B4D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CF26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0FEA7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40121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蓬莱区3号楼旁室外电梯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9D3B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2026/12/17-2027/12/31</w:t>
            </w:r>
          </w:p>
        </w:tc>
      </w:tr>
      <w:tr w14:paraId="7AFF4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B8714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Calibri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11.</w:t>
            </w:r>
          </w:p>
        </w:tc>
        <w:tc>
          <w:tcPr>
            <w:tcW w:w="112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0DC047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LCA-B</w:t>
            </w:r>
          </w:p>
          <w:p w14:paraId="3F7D97C1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23G056328</w:t>
            </w:r>
          </w:p>
          <w:p w14:paraId="31A2550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3130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440113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202409</w:t>
            </w:r>
            <w:r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0040</w:t>
            </w:r>
          </w:p>
        </w:tc>
        <w:tc>
          <w:tcPr>
            <w:tcW w:w="29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0B5A2C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2/2</w:t>
            </w:r>
          </w:p>
        </w:tc>
        <w:tc>
          <w:tcPr>
            <w:tcW w:w="3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7D1A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1600</w:t>
            </w:r>
          </w:p>
        </w:tc>
        <w:tc>
          <w:tcPr>
            <w:tcW w:w="2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D6ED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1.0</w:t>
            </w:r>
          </w:p>
        </w:tc>
        <w:tc>
          <w:tcPr>
            <w:tcW w:w="36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A64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12.5个月</w:t>
            </w:r>
          </w:p>
        </w:tc>
        <w:tc>
          <w:tcPr>
            <w:tcW w:w="3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6461C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90023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02D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D07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蓬莱5号楼旁室外电梯</w:t>
            </w: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B60A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2026/12/17-2027/12/31</w:t>
            </w:r>
          </w:p>
        </w:tc>
      </w:tr>
      <w:tr w14:paraId="5EC3A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76" w:type="pct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0C7E9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合计：</w:t>
            </w:r>
          </w:p>
        </w:tc>
        <w:tc>
          <w:tcPr>
            <w:tcW w:w="27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D747B">
            <w:pPr>
              <w:widowControl/>
              <w:jc w:val="center"/>
              <w:rPr>
                <w:rFonts w:hint="default" w:ascii="宋体" w:hAnsi="宋体" w:cs="Calibri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  <w:t>11台</w:t>
            </w:r>
          </w:p>
        </w:tc>
        <w:tc>
          <w:tcPr>
            <w:tcW w:w="34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205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9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9E2B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</w:p>
        </w:tc>
        <w:tc>
          <w:tcPr>
            <w:tcW w:w="100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E7BD6">
            <w:pPr>
              <w:widowControl/>
              <w:jc w:val="center"/>
              <w:rPr>
                <w:rFonts w:hint="eastAsia" w:ascii="宋体" w:hAnsi="宋体" w:cs="Calibri"/>
                <w:bCs/>
                <w:color w:val="auto"/>
                <w:szCs w:val="21"/>
                <w:lang w:val="en-US" w:eastAsia="zh-CN"/>
              </w:rPr>
            </w:pPr>
          </w:p>
        </w:tc>
      </w:tr>
    </w:tbl>
    <w:p w14:paraId="433D1593">
      <w:pPr>
        <w:spacing w:line="360" w:lineRule="exact"/>
        <w:ind w:firstLine="420" w:firstLineChars="200"/>
        <w:jc w:val="left"/>
        <w:rPr>
          <w:rFonts w:hint="eastAsia" w:ascii="宋体" w:hAnsi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注：因蓬莱区和桃源区电梯采购时间不同，导致维保期的起止时间不一致。为便于统一管理，现将两区电梯的维保截止时间统一调整为2027年12月31日。</w:t>
      </w:r>
    </w:p>
    <w:p w14:paraId="051359EC">
      <w:pPr>
        <w:tabs>
          <w:tab w:val="right" w:pos="9524"/>
        </w:tabs>
        <w:spacing w:line="360" w:lineRule="exact"/>
        <w:ind w:firstLine="422" w:firstLineChars="200"/>
        <w:rPr>
          <w:rFonts w:hint="eastAsia" w:ascii="宋体" w:hAnsi="宋体" w:eastAsia="宋体" w:cs="Calibri"/>
          <w:b/>
          <w:color w:val="000000"/>
          <w:szCs w:val="21"/>
        </w:rPr>
      </w:pPr>
      <w:r>
        <w:rPr>
          <w:rFonts w:hint="eastAsia" w:ascii="宋体" w:hAnsi="宋体" w:eastAsia="宋体" w:cs="Calibri"/>
          <w:b/>
          <w:color w:val="000000"/>
          <w:szCs w:val="21"/>
          <w:lang w:val="en-US" w:eastAsia="zh-CN"/>
        </w:rPr>
        <w:t>五</w:t>
      </w:r>
      <w:r>
        <w:rPr>
          <w:rFonts w:hint="eastAsia" w:ascii="宋体" w:hAnsi="宋体" w:eastAsia="宋体" w:cs="Calibri"/>
          <w:b/>
          <w:color w:val="000000"/>
          <w:szCs w:val="21"/>
        </w:rPr>
        <w:t>、付款方式</w:t>
      </w:r>
    </w:p>
    <w:p w14:paraId="48DF53C8">
      <w:pPr>
        <w:spacing w:line="360" w:lineRule="exact"/>
        <w:ind w:firstLine="420" w:firstLineChars="200"/>
        <w:jc w:val="left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1.服务期满6个月后，供应商提交等额正式发票及其他有效文件，采购人在收到发票后30日内支付本合同服务费的50%；在满合同期之后，供应商提交等额正式发票及其他有效文件，采购人在30个工作日之内支付合同剩余服务费，即合同总价50%。</w:t>
      </w:r>
    </w:p>
    <w:p w14:paraId="30AC22CE">
      <w:pPr>
        <w:spacing w:line="360" w:lineRule="exact"/>
        <w:ind w:firstLine="420" w:firstLineChars="200"/>
        <w:jc w:val="left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2中标单位凭以下有效文件与采购人结算：</w:t>
      </w:r>
    </w:p>
    <w:p w14:paraId="55B6D577">
      <w:pPr>
        <w:spacing w:line="360" w:lineRule="exact"/>
        <w:ind w:firstLine="420" w:firstLineChars="200"/>
        <w:jc w:val="left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2.1合同。</w:t>
      </w:r>
    </w:p>
    <w:p w14:paraId="16E6AAE7">
      <w:pPr>
        <w:spacing w:line="360" w:lineRule="exact"/>
        <w:ind w:firstLine="420" w:firstLineChars="200"/>
        <w:jc w:val="left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2.2中标单位开具的等额正规发票。</w:t>
      </w:r>
    </w:p>
    <w:p w14:paraId="5ACA9B22">
      <w:pPr>
        <w:spacing w:line="360" w:lineRule="exact"/>
        <w:ind w:firstLine="420" w:firstLineChars="200"/>
        <w:jc w:val="left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2.3维保记录表。</w:t>
      </w:r>
    </w:p>
    <w:p w14:paraId="212FB97F">
      <w:pPr>
        <w:spacing w:line="360" w:lineRule="exact"/>
        <w:ind w:firstLine="420" w:firstLineChars="200"/>
        <w:jc w:val="left"/>
        <w:rPr>
          <w:rFonts w:hint="default" w:ascii="宋体" w:hAnsi="宋体" w:cs="Calibri"/>
          <w:color w:val="000000"/>
          <w:szCs w:val="21"/>
          <w:lang w:val="en-US" w:eastAsia="zh-CN"/>
        </w:rPr>
      </w:pPr>
    </w:p>
    <w:p w14:paraId="53EA4453">
      <w:pPr>
        <w:spacing w:line="360" w:lineRule="exact"/>
        <w:ind w:firstLine="420" w:firstLineChars="200"/>
        <w:jc w:val="left"/>
        <w:rPr>
          <w:rFonts w:ascii="宋体" w:hAnsi="宋体" w:cs="Calibri"/>
          <w:color w:val="000000"/>
          <w:szCs w:val="21"/>
        </w:rPr>
      </w:pPr>
    </w:p>
    <w:p w14:paraId="339E374D">
      <w:pPr>
        <w:spacing w:line="360" w:lineRule="exact"/>
        <w:ind w:firstLine="420" w:firstLineChars="200"/>
        <w:jc w:val="left"/>
        <w:rPr>
          <w:rFonts w:ascii="宋体" w:hAnsi="宋体" w:cs="Calibri"/>
          <w:color w:val="000000"/>
          <w:szCs w:val="21"/>
        </w:rPr>
      </w:pPr>
    </w:p>
    <w:p w14:paraId="3345FDC6">
      <w:pPr>
        <w:spacing w:line="360" w:lineRule="exact"/>
        <w:ind w:firstLine="420" w:firstLineChars="200"/>
        <w:jc w:val="left"/>
        <w:rPr>
          <w:rFonts w:ascii="宋体" w:hAnsi="宋体" w:cs="Calibri"/>
          <w:color w:val="000000"/>
          <w:szCs w:val="21"/>
        </w:rPr>
      </w:pPr>
    </w:p>
    <w:p w14:paraId="2B856A5D">
      <w:pPr>
        <w:spacing w:line="360" w:lineRule="exact"/>
        <w:ind w:firstLine="4620" w:firstLineChars="2200"/>
        <w:jc w:val="left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单位名称</w:t>
      </w:r>
      <w:r>
        <w:rPr>
          <w:rFonts w:hint="eastAsia" w:ascii="宋体" w:hAnsi="宋体" w:cs="Calibri"/>
          <w:color w:val="000000"/>
          <w:szCs w:val="21"/>
          <w:lang w:eastAsia="zh-CN"/>
        </w:rPr>
        <w:t>（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盖章</w:t>
      </w:r>
      <w:r>
        <w:rPr>
          <w:rFonts w:hint="eastAsia" w:ascii="宋体" w:hAnsi="宋体" w:cs="Calibri"/>
          <w:color w:val="000000"/>
          <w:szCs w:val="21"/>
          <w:lang w:eastAsia="zh-CN"/>
        </w:rPr>
        <w:t>）</w:t>
      </w:r>
      <w:r>
        <w:rPr>
          <w:rFonts w:hint="eastAsia" w:ascii="宋体" w:hAnsi="宋体" w:cs="Calibri"/>
          <w:color w:val="000000"/>
          <w:szCs w:val="21"/>
        </w:rPr>
        <w:t>：</w:t>
      </w:r>
    </w:p>
    <w:p w14:paraId="51F88ACD">
      <w:pPr>
        <w:spacing w:line="360" w:lineRule="exact"/>
        <w:ind w:firstLine="5460" w:firstLineChars="2600"/>
        <w:jc w:val="left"/>
        <w:rPr>
          <w:rFonts w:hint="eastAsia" w:ascii="宋体" w:hAnsi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联系人：</w:t>
      </w:r>
    </w:p>
    <w:p w14:paraId="3F1C1C2E">
      <w:pPr>
        <w:spacing w:line="360" w:lineRule="exact"/>
        <w:ind w:firstLine="5250" w:firstLineChars="2500"/>
        <w:jc w:val="left"/>
        <w:rPr>
          <w:rFonts w:hint="default" w:ascii="宋体" w:hAnsi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联系电话：</w:t>
      </w:r>
    </w:p>
    <w:p w14:paraId="09D7B12C">
      <w:pPr>
        <w:spacing w:line="360" w:lineRule="exact"/>
        <w:ind w:firstLine="5670" w:firstLineChars="2700"/>
        <w:jc w:val="left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日 期：</w:t>
      </w:r>
    </w:p>
    <w:p w14:paraId="22076E3F">
      <w:pPr>
        <w:spacing w:line="320" w:lineRule="exact"/>
        <w:rPr>
          <w:rFonts w:ascii="Arial" w:hAnsi="Arial" w:eastAsia="黑体" w:cs="Arial"/>
          <w:kern w:val="0"/>
          <w:szCs w:val="21"/>
        </w:rPr>
      </w:pPr>
      <w:r>
        <w:rPr>
          <w:rFonts w:hint="eastAsia" w:ascii="Arial" w:hAnsi="Arial" w:eastAsia="黑体" w:cs="Arial"/>
          <w:b/>
          <w:kern w:val="0"/>
          <w:szCs w:val="21"/>
        </w:rPr>
        <w:t>附件</w:t>
      </w:r>
      <w:r>
        <w:rPr>
          <w:rFonts w:ascii="Arial" w:hAnsi="Arial" w:eastAsia="黑体" w:cs="Arial"/>
          <w:b/>
          <w:kern w:val="0"/>
          <w:szCs w:val="21"/>
        </w:rPr>
        <w:t>A</w:t>
      </w:r>
    </w:p>
    <w:p w14:paraId="2AB7732A">
      <w:pPr>
        <w:jc w:val="center"/>
        <w:rPr>
          <w:rFonts w:hint="eastAsia"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>曳引与强制驱动电梯维护保养项目（内容）和要求</w:t>
      </w:r>
    </w:p>
    <w:p w14:paraId="4548D034">
      <w:pPr>
        <w:jc w:val="center"/>
        <w:rPr>
          <w:rFonts w:hint="eastAsia" w:asciiTheme="minorEastAsia" w:hAnsiTheme="minorEastAsia" w:eastAsiaTheme="minorEastAsia" w:cstheme="minorEastAsia"/>
          <w:b/>
          <w:sz w:val="15"/>
          <w:szCs w:val="21"/>
        </w:rPr>
      </w:pPr>
    </w:p>
    <w:p w14:paraId="189A7891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  <w:t>A1  半月维护保养项目（内容）和要求</w:t>
      </w:r>
    </w:p>
    <w:p w14:paraId="4815C233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 xml:space="preserve">半月维护保养项目（内容）和要求见表A-1。                                                                                </w:t>
      </w:r>
    </w:p>
    <w:p w14:paraId="379CEEF9">
      <w:pPr>
        <w:adjustRightInd w:val="0"/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表A-1   半月维护保养项目（内容）和要求</w:t>
      </w:r>
    </w:p>
    <w:tbl>
      <w:tblPr>
        <w:tblStyle w:val="7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634"/>
        <w:gridCol w:w="4677"/>
      </w:tblGrid>
      <w:tr w14:paraId="19CEC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89C1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634" w:type="dxa"/>
            <w:tcBorders>
              <w:top w:val="single" w:color="auto" w:sz="12" w:space="0"/>
            </w:tcBorders>
            <w:vAlign w:val="center"/>
          </w:tcPr>
          <w:p w14:paraId="7B86ED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维护保养项目（内容）</w:t>
            </w:r>
          </w:p>
        </w:tc>
        <w:tc>
          <w:tcPr>
            <w:tcW w:w="4677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BC8C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维护保养基本要求</w:t>
            </w:r>
          </w:p>
        </w:tc>
      </w:tr>
      <w:tr w14:paraId="366D8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2DD38E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34" w:type="dxa"/>
            <w:vAlign w:val="center"/>
          </w:tcPr>
          <w:p w14:paraId="25B57E7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机房、滑轮间环境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039593F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 xml:space="preserve">清洁，门窗完好、照明正常 </w:t>
            </w:r>
          </w:p>
        </w:tc>
      </w:tr>
      <w:tr w14:paraId="157C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27D319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34" w:type="dxa"/>
            <w:vAlign w:val="center"/>
          </w:tcPr>
          <w:p w14:paraId="15C7859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手动紧急操作装置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3DE1B4A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齐全，在指定位置</w:t>
            </w:r>
          </w:p>
        </w:tc>
      </w:tr>
      <w:tr w14:paraId="5174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1D8C2D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34" w:type="dxa"/>
            <w:vAlign w:val="center"/>
          </w:tcPr>
          <w:p w14:paraId="78D8D48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驱动主机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0BB2745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strike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运行时无异常振动和异常声响</w:t>
            </w:r>
          </w:p>
        </w:tc>
      </w:tr>
      <w:tr w14:paraId="305E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296EAB0D"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34" w:type="dxa"/>
            <w:vAlign w:val="center"/>
          </w:tcPr>
          <w:p w14:paraId="7145689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制动器各销轴部位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4E6F1C2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动作灵活</w:t>
            </w:r>
          </w:p>
        </w:tc>
      </w:tr>
      <w:tr w14:paraId="10955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1BD38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34" w:type="dxa"/>
            <w:vAlign w:val="center"/>
          </w:tcPr>
          <w:p w14:paraId="66FE829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制动器间隙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515998C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打开时制动衬与制动轮不应发生摩擦，间隙值符合制造单位要求</w:t>
            </w:r>
          </w:p>
        </w:tc>
      </w:tr>
      <w:tr w14:paraId="78EB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6E0601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34" w:type="dxa"/>
            <w:vAlign w:val="center"/>
          </w:tcPr>
          <w:p w14:paraId="7BE731E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制动器作为轿厢意外移动保护装置制停子系统时的自监测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382857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制动力人工方式检测符合使用维护说明书要求；制动力自监测系统有记录</w:t>
            </w:r>
          </w:p>
        </w:tc>
      </w:tr>
      <w:tr w14:paraId="35C2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12EB61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634" w:type="dxa"/>
            <w:vAlign w:val="center"/>
          </w:tcPr>
          <w:p w14:paraId="2F32ECE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编码器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4512D5D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清洁，安装牢固</w:t>
            </w:r>
          </w:p>
        </w:tc>
      </w:tr>
      <w:tr w14:paraId="62B6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457378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634" w:type="dxa"/>
            <w:vAlign w:val="center"/>
          </w:tcPr>
          <w:p w14:paraId="1215E87A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限速器各销轴部位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166BDD4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润滑，转动灵活；电气开关正常</w:t>
            </w:r>
          </w:p>
        </w:tc>
      </w:tr>
      <w:tr w14:paraId="4B3C2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4EA83BE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634" w:type="dxa"/>
            <w:vAlign w:val="center"/>
          </w:tcPr>
          <w:p w14:paraId="080B63F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层门和轿门旁路装置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D92276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6B06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2B786D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634" w:type="dxa"/>
            <w:vAlign w:val="center"/>
          </w:tcPr>
          <w:p w14:paraId="0FEDE4E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紧急电动运行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006F8B7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2FA48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180D98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634" w:type="dxa"/>
            <w:vAlign w:val="center"/>
          </w:tcPr>
          <w:p w14:paraId="20F91D9A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轿顶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35E6401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清洁，防护栏安全可靠</w:t>
            </w:r>
          </w:p>
        </w:tc>
      </w:tr>
      <w:tr w14:paraId="06CE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656AB8F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634" w:type="dxa"/>
            <w:vAlign w:val="center"/>
          </w:tcPr>
          <w:p w14:paraId="0A9DE3E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轿顶检修开关、停止装置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5333952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4F962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2B0078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634" w:type="dxa"/>
            <w:vAlign w:val="center"/>
          </w:tcPr>
          <w:p w14:paraId="456E4C6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导靴上油杯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9BFFC8A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吸油毛毡齐全，油量适宜，油杯无泄漏</w:t>
            </w:r>
          </w:p>
        </w:tc>
      </w:tr>
      <w:tr w14:paraId="6C70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28DE70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634" w:type="dxa"/>
            <w:vAlign w:val="center"/>
          </w:tcPr>
          <w:p w14:paraId="6B18E53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对重/平衡重块及其压板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45DBDD0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对重/平衡重块无松动，压板紧固。</w:t>
            </w:r>
          </w:p>
        </w:tc>
      </w:tr>
      <w:tr w14:paraId="38456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302E7AC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634" w:type="dxa"/>
            <w:vAlign w:val="center"/>
          </w:tcPr>
          <w:p w14:paraId="5F0EC99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井道照明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67F53C0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齐全、正常</w:t>
            </w:r>
          </w:p>
        </w:tc>
      </w:tr>
      <w:tr w14:paraId="73DE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0F68D99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634" w:type="dxa"/>
            <w:vAlign w:val="center"/>
          </w:tcPr>
          <w:p w14:paraId="76F2897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轿厢照明、风扇、应急照明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092F83E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2AF9B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49A0EE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634" w:type="dxa"/>
            <w:vAlign w:val="center"/>
          </w:tcPr>
          <w:p w14:paraId="065A32C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轿厢检修开关、停止装置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FE2846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7DEBF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54011F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3634" w:type="dxa"/>
            <w:vAlign w:val="center"/>
          </w:tcPr>
          <w:p w14:paraId="405EDD6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轿内报警装置、对讲系统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9E0ECF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strike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2CE21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67091E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3634" w:type="dxa"/>
            <w:vAlign w:val="center"/>
          </w:tcPr>
          <w:p w14:paraId="07C21B7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轿内显示、指令按钮、IC卡系统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157075A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齐全、有效</w:t>
            </w:r>
          </w:p>
        </w:tc>
      </w:tr>
      <w:tr w14:paraId="7D2B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71F18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3634" w:type="dxa"/>
            <w:vAlign w:val="center"/>
          </w:tcPr>
          <w:p w14:paraId="5FA314D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轿门防撞击保护装置（安全触板，光幕、光电等）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5C7D773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功能有效</w:t>
            </w:r>
          </w:p>
        </w:tc>
      </w:tr>
      <w:tr w14:paraId="3FED1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4E7660F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634" w:type="dxa"/>
            <w:vAlign w:val="center"/>
          </w:tcPr>
          <w:p w14:paraId="2873F91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轿门门锁电气触点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B0053D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清洁, 触点接触良好，接线可靠</w:t>
            </w:r>
          </w:p>
        </w:tc>
      </w:tr>
      <w:tr w14:paraId="1C9E9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F7B4A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634" w:type="dxa"/>
            <w:vAlign w:val="center"/>
          </w:tcPr>
          <w:p w14:paraId="56B144A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轿门运行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6A90EF2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开启和关闭工作正常</w:t>
            </w:r>
          </w:p>
        </w:tc>
      </w:tr>
      <w:tr w14:paraId="54DC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6A84F27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3634" w:type="dxa"/>
            <w:vAlign w:val="center"/>
          </w:tcPr>
          <w:p w14:paraId="254D5D2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轿厢平层准确度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67613D0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符合标准值</w:t>
            </w:r>
          </w:p>
        </w:tc>
      </w:tr>
      <w:tr w14:paraId="54C12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5E20F0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3634" w:type="dxa"/>
            <w:vAlign w:val="center"/>
          </w:tcPr>
          <w:p w14:paraId="4D77C69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层站召唤、层楼显示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71B42BB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齐全、有效</w:t>
            </w:r>
          </w:p>
        </w:tc>
      </w:tr>
      <w:tr w14:paraId="76BE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9B5E11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3634" w:type="dxa"/>
            <w:vAlign w:val="center"/>
          </w:tcPr>
          <w:p w14:paraId="0D63AA1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层门地坎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45EF861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</w:t>
            </w:r>
          </w:p>
        </w:tc>
      </w:tr>
      <w:tr w14:paraId="1FE4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240A0C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634" w:type="dxa"/>
            <w:vAlign w:val="center"/>
          </w:tcPr>
          <w:p w14:paraId="50C1EEA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层门自动关门装置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676F6EE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正常</w:t>
            </w:r>
          </w:p>
        </w:tc>
      </w:tr>
      <w:tr w14:paraId="4118A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65FC44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3634" w:type="dxa"/>
            <w:vAlign w:val="center"/>
          </w:tcPr>
          <w:p w14:paraId="07EADE5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层门门锁自动复位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4CCB2BE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用层门钥匙打开手动开锁装置释放后，层门门锁能自动复位</w:t>
            </w:r>
          </w:p>
        </w:tc>
      </w:tr>
      <w:tr w14:paraId="7BD6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32C7E7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3634" w:type="dxa"/>
            <w:vAlign w:val="center"/>
          </w:tcPr>
          <w:p w14:paraId="70FFD7E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层门门锁电气触点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23DD904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清洁, 触点接触良好，接线可靠</w:t>
            </w:r>
          </w:p>
        </w:tc>
      </w:tr>
      <w:tr w14:paraId="34088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2816921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3634" w:type="dxa"/>
            <w:vAlign w:val="center"/>
          </w:tcPr>
          <w:p w14:paraId="2C9BCA3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层门锁紧元件啮合长度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090CCA9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不小于7mm</w:t>
            </w:r>
          </w:p>
        </w:tc>
      </w:tr>
      <w:tr w14:paraId="2111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</w:tcBorders>
            <w:noWrap/>
            <w:vAlign w:val="center"/>
          </w:tcPr>
          <w:p w14:paraId="7D5E2E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3634" w:type="dxa"/>
            <w:vAlign w:val="center"/>
          </w:tcPr>
          <w:p w14:paraId="311BC64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底坑环境</w:t>
            </w:r>
          </w:p>
        </w:tc>
        <w:tc>
          <w:tcPr>
            <w:tcW w:w="4677" w:type="dxa"/>
            <w:tcBorders>
              <w:right w:val="single" w:color="auto" w:sz="12" w:space="0"/>
            </w:tcBorders>
            <w:noWrap/>
            <w:vAlign w:val="center"/>
          </w:tcPr>
          <w:p w14:paraId="53058A1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清洁，无渗水、积水，照明正常</w:t>
            </w:r>
          </w:p>
        </w:tc>
      </w:tr>
      <w:tr w14:paraId="213C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08107C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3634" w:type="dxa"/>
            <w:tcBorders>
              <w:bottom w:val="single" w:color="auto" w:sz="12" w:space="0"/>
            </w:tcBorders>
            <w:vAlign w:val="center"/>
          </w:tcPr>
          <w:p w14:paraId="01DD5C1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底坑停止装置</w:t>
            </w:r>
          </w:p>
        </w:tc>
        <w:tc>
          <w:tcPr>
            <w:tcW w:w="4677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3F02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</w:tbl>
    <w:p w14:paraId="3F776A56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4"/>
          <w:szCs w:val="18"/>
        </w:rPr>
      </w:pPr>
    </w:p>
    <w:p w14:paraId="415627E7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</w:pPr>
    </w:p>
    <w:p w14:paraId="1E46C8A5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  <w:t>A2  季度维护保养项目（内容）和要求</w:t>
      </w:r>
    </w:p>
    <w:p w14:paraId="1DB41844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季度维护保养项目（内容）和要求除符合A1半月维护保养的项目（内容）和要求外，还应当符合表A-2的项目（内容）和要求。</w:t>
      </w:r>
    </w:p>
    <w:p w14:paraId="39619526">
      <w:pPr>
        <w:adjustRightInd w:val="0"/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表A-2 季度维护保养项目（内容）和要求</w:t>
      </w:r>
    </w:p>
    <w:tbl>
      <w:tblPr>
        <w:tblStyle w:val="7"/>
        <w:tblW w:w="90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639"/>
        <w:gridCol w:w="4677"/>
      </w:tblGrid>
      <w:tr w14:paraId="5B2D1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top w:val="single" w:color="auto" w:sz="12" w:space="0"/>
            </w:tcBorders>
            <w:noWrap/>
            <w:vAlign w:val="center"/>
          </w:tcPr>
          <w:p w14:paraId="71369D12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639" w:type="dxa"/>
            <w:tcBorders>
              <w:top w:val="single" w:color="auto" w:sz="12" w:space="0"/>
            </w:tcBorders>
            <w:vAlign w:val="center"/>
          </w:tcPr>
          <w:p w14:paraId="3035DF76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维护保养项目（内容）</w:t>
            </w:r>
          </w:p>
        </w:tc>
        <w:tc>
          <w:tcPr>
            <w:tcW w:w="4677" w:type="dxa"/>
            <w:tcBorders>
              <w:top w:val="single" w:color="auto" w:sz="12" w:space="0"/>
            </w:tcBorders>
            <w:noWrap/>
            <w:vAlign w:val="center"/>
          </w:tcPr>
          <w:p w14:paraId="34BCE807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维护保养基本要求</w:t>
            </w:r>
          </w:p>
        </w:tc>
      </w:tr>
      <w:tr w14:paraId="2BCBA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0F03494A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39" w:type="dxa"/>
            <w:vAlign w:val="center"/>
          </w:tcPr>
          <w:p w14:paraId="604CD24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减速机润滑油</w:t>
            </w:r>
          </w:p>
        </w:tc>
        <w:tc>
          <w:tcPr>
            <w:tcW w:w="4677" w:type="dxa"/>
            <w:noWrap/>
            <w:vAlign w:val="center"/>
          </w:tcPr>
          <w:p w14:paraId="0833447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油量适宜，除蜗杆伸出端外均无渗漏</w:t>
            </w:r>
          </w:p>
        </w:tc>
      </w:tr>
      <w:tr w14:paraId="7BD7F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7D509C01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39" w:type="dxa"/>
            <w:vAlign w:val="center"/>
          </w:tcPr>
          <w:p w14:paraId="2D2C03E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制动衬</w:t>
            </w:r>
          </w:p>
        </w:tc>
        <w:tc>
          <w:tcPr>
            <w:tcW w:w="4677" w:type="dxa"/>
            <w:noWrap/>
            <w:vAlign w:val="center"/>
          </w:tcPr>
          <w:p w14:paraId="7B2A33D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清洁，磨损量不超过制造单位要求</w:t>
            </w:r>
          </w:p>
        </w:tc>
      </w:tr>
      <w:tr w14:paraId="5DA72C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55F02D8F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39" w:type="dxa"/>
            <w:vAlign w:val="center"/>
          </w:tcPr>
          <w:p w14:paraId="08B99D4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编码器</w:t>
            </w:r>
          </w:p>
        </w:tc>
        <w:tc>
          <w:tcPr>
            <w:tcW w:w="4677" w:type="dxa"/>
            <w:noWrap/>
            <w:vAlign w:val="center"/>
          </w:tcPr>
          <w:p w14:paraId="01937A7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032F5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00292266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39" w:type="dxa"/>
            <w:vAlign w:val="center"/>
          </w:tcPr>
          <w:p w14:paraId="79098B7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选层器动静触点</w:t>
            </w:r>
          </w:p>
        </w:tc>
        <w:tc>
          <w:tcPr>
            <w:tcW w:w="4677" w:type="dxa"/>
            <w:noWrap/>
            <w:vAlign w:val="center"/>
          </w:tcPr>
          <w:p w14:paraId="422E037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清洁，无烧蚀</w:t>
            </w:r>
          </w:p>
        </w:tc>
      </w:tr>
      <w:tr w14:paraId="692B6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32119137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39" w:type="dxa"/>
            <w:vAlign w:val="center"/>
          </w:tcPr>
          <w:p w14:paraId="4EA1AE0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曳引轮槽、悬挂装置</w:t>
            </w:r>
          </w:p>
        </w:tc>
        <w:tc>
          <w:tcPr>
            <w:tcW w:w="4677" w:type="dxa"/>
            <w:noWrap/>
            <w:vAlign w:val="center"/>
          </w:tcPr>
          <w:p w14:paraId="62C5194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清洁，钢丝绳无严重油腻，张力均匀，符合制造单位要求</w:t>
            </w:r>
          </w:p>
        </w:tc>
      </w:tr>
      <w:tr w14:paraId="4714E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733C5B15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39" w:type="dxa"/>
            <w:vAlign w:val="center"/>
          </w:tcPr>
          <w:p w14:paraId="4474021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限速器轮槽、限速器钢丝绳</w:t>
            </w:r>
          </w:p>
        </w:tc>
        <w:tc>
          <w:tcPr>
            <w:tcW w:w="4677" w:type="dxa"/>
            <w:noWrap/>
            <w:vAlign w:val="center"/>
          </w:tcPr>
          <w:p w14:paraId="4F6CCF0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清洁，无严重油腻</w:t>
            </w:r>
          </w:p>
        </w:tc>
      </w:tr>
      <w:tr w14:paraId="6A25D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20252050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639" w:type="dxa"/>
            <w:vAlign w:val="center"/>
          </w:tcPr>
          <w:p w14:paraId="3803459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靴衬、滚轮</w:t>
            </w:r>
          </w:p>
        </w:tc>
        <w:tc>
          <w:tcPr>
            <w:tcW w:w="4677" w:type="dxa"/>
            <w:noWrap/>
            <w:vAlign w:val="center"/>
          </w:tcPr>
          <w:p w14:paraId="47229CE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清洁，磨损量不超过制造单位要求</w:t>
            </w:r>
          </w:p>
        </w:tc>
      </w:tr>
      <w:tr w14:paraId="1F36C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4EEE87C4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639" w:type="dxa"/>
            <w:vAlign w:val="center"/>
          </w:tcPr>
          <w:p w14:paraId="5057A58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验证轿门关闭的电气安全装置</w:t>
            </w:r>
          </w:p>
        </w:tc>
        <w:tc>
          <w:tcPr>
            <w:tcW w:w="4677" w:type="dxa"/>
            <w:noWrap/>
            <w:vAlign w:val="center"/>
          </w:tcPr>
          <w:p w14:paraId="722D199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07831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1822306E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639" w:type="dxa"/>
            <w:vAlign w:val="center"/>
          </w:tcPr>
          <w:p w14:paraId="1ADC5E3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层门、轿门系统中传动钢丝绳、链条、传送带</w:t>
            </w:r>
          </w:p>
        </w:tc>
        <w:tc>
          <w:tcPr>
            <w:tcW w:w="4677" w:type="dxa"/>
            <w:noWrap/>
            <w:vAlign w:val="center"/>
          </w:tcPr>
          <w:p w14:paraId="641AF34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按照制造单位要求进行清洁、调整</w:t>
            </w:r>
          </w:p>
        </w:tc>
      </w:tr>
      <w:tr w14:paraId="6D2D5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558F24A8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639" w:type="dxa"/>
            <w:vAlign w:val="center"/>
          </w:tcPr>
          <w:p w14:paraId="0796E2D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层门门导靴</w:t>
            </w:r>
          </w:p>
        </w:tc>
        <w:tc>
          <w:tcPr>
            <w:tcW w:w="4677" w:type="dxa"/>
            <w:noWrap/>
            <w:vAlign w:val="center"/>
          </w:tcPr>
          <w:p w14:paraId="1FF6C51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磨损量不超过制造单位要求</w:t>
            </w:r>
          </w:p>
        </w:tc>
      </w:tr>
      <w:tr w14:paraId="7B9A67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75936380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639" w:type="dxa"/>
            <w:vAlign w:val="center"/>
          </w:tcPr>
          <w:p w14:paraId="5884937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消防开关</w:t>
            </w:r>
          </w:p>
        </w:tc>
        <w:tc>
          <w:tcPr>
            <w:tcW w:w="4677" w:type="dxa"/>
            <w:noWrap/>
            <w:vAlign w:val="center"/>
          </w:tcPr>
          <w:p w14:paraId="6F64F82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工作正常，功能有效</w:t>
            </w:r>
          </w:p>
        </w:tc>
      </w:tr>
      <w:tr w14:paraId="1EB62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noWrap/>
            <w:vAlign w:val="center"/>
          </w:tcPr>
          <w:p w14:paraId="716FF220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639" w:type="dxa"/>
            <w:vAlign w:val="center"/>
          </w:tcPr>
          <w:p w14:paraId="33C468F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耗能缓冲器</w:t>
            </w:r>
          </w:p>
        </w:tc>
        <w:tc>
          <w:tcPr>
            <w:tcW w:w="4677" w:type="dxa"/>
            <w:noWrap/>
            <w:vAlign w:val="center"/>
          </w:tcPr>
          <w:p w14:paraId="3489D87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电气安全装置功能有效，油量适宜，柱塞无锈蚀</w:t>
            </w:r>
          </w:p>
        </w:tc>
      </w:tr>
      <w:tr w14:paraId="38B3C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6" w:type="dxa"/>
            <w:tcBorders>
              <w:bottom w:val="single" w:color="auto" w:sz="12" w:space="0"/>
            </w:tcBorders>
            <w:noWrap/>
            <w:vAlign w:val="center"/>
          </w:tcPr>
          <w:p w14:paraId="35087DF1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639" w:type="dxa"/>
            <w:tcBorders>
              <w:bottom w:val="single" w:color="auto" w:sz="12" w:space="0"/>
            </w:tcBorders>
            <w:vAlign w:val="center"/>
          </w:tcPr>
          <w:p w14:paraId="321A248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限速器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紧轮装置和电气安全装置</w:t>
            </w:r>
          </w:p>
        </w:tc>
        <w:tc>
          <w:tcPr>
            <w:tcW w:w="4677" w:type="dxa"/>
            <w:tcBorders>
              <w:bottom w:val="single" w:color="auto" w:sz="12" w:space="0"/>
            </w:tcBorders>
            <w:noWrap/>
            <w:vAlign w:val="center"/>
          </w:tcPr>
          <w:p w14:paraId="64F6A53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</w:tbl>
    <w:p w14:paraId="22B095F5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4"/>
          <w:szCs w:val="18"/>
        </w:rPr>
      </w:pPr>
    </w:p>
    <w:p w14:paraId="363F8722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</w:p>
    <w:p w14:paraId="44486E14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  <w:t>A3  半年维护保养项目（内容）和要求</w:t>
      </w:r>
    </w:p>
    <w:p w14:paraId="2F61FEE0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半年维护保养项目（内容）和要求除符合A2季度维护保养的项目（内容）和要求外，还应当符合表A-3的项目（内容）和要求。</w:t>
      </w:r>
    </w:p>
    <w:p w14:paraId="60353086">
      <w:pPr>
        <w:adjustRightInd w:val="0"/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表A-3  半年维护保养项目（内容）和要求</w:t>
      </w:r>
    </w:p>
    <w:tbl>
      <w:tblPr>
        <w:tblStyle w:val="7"/>
        <w:tblW w:w="90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634"/>
        <w:gridCol w:w="4677"/>
      </w:tblGrid>
      <w:tr w14:paraId="00F82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top w:val="single" w:color="auto" w:sz="12" w:space="0"/>
            </w:tcBorders>
            <w:noWrap/>
            <w:vAlign w:val="center"/>
          </w:tcPr>
          <w:p w14:paraId="01D91C2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634" w:type="dxa"/>
            <w:tcBorders>
              <w:top w:val="single" w:color="auto" w:sz="12" w:space="0"/>
            </w:tcBorders>
            <w:vAlign w:val="center"/>
          </w:tcPr>
          <w:p w14:paraId="28C0B75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维护保养项目（内容）</w:t>
            </w:r>
          </w:p>
        </w:tc>
        <w:tc>
          <w:tcPr>
            <w:tcW w:w="4677" w:type="dxa"/>
            <w:tcBorders>
              <w:top w:val="single" w:color="auto" w:sz="12" w:space="0"/>
            </w:tcBorders>
            <w:noWrap/>
            <w:vAlign w:val="center"/>
          </w:tcPr>
          <w:p w14:paraId="3B775A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维护保养基本要求</w:t>
            </w:r>
          </w:p>
        </w:tc>
      </w:tr>
      <w:tr w14:paraId="15B56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1538EF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34" w:type="dxa"/>
            <w:vAlign w:val="center"/>
          </w:tcPr>
          <w:p w14:paraId="42964B1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电动机与减速机联轴器</w:t>
            </w:r>
          </w:p>
        </w:tc>
        <w:tc>
          <w:tcPr>
            <w:tcW w:w="4677" w:type="dxa"/>
            <w:noWrap/>
            <w:vAlign w:val="center"/>
          </w:tcPr>
          <w:p w14:paraId="2EC288CA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连接无松动，弹性元件外观良好，无老化等现象</w:t>
            </w:r>
          </w:p>
        </w:tc>
      </w:tr>
      <w:tr w14:paraId="6B21E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446DBF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34" w:type="dxa"/>
            <w:vAlign w:val="center"/>
          </w:tcPr>
          <w:p w14:paraId="78391F8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驱动轮、导向轮轴承部</w:t>
            </w:r>
          </w:p>
        </w:tc>
        <w:tc>
          <w:tcPr>
            <w:tcW w:w="4677" w:type="dxa"/>
            <w:noWrap/>
            <w:vAlign w:val="center"/>
          </w:tcPr>
          <w:p w14:paraId="78488B3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无异常响声，无振动，润滑良好</w:t>
            </w:r>
          </w:p>
        </w:tc>
      </w:tr>
      <w:tr w14:paraId="37D5C1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15E04DF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34" w:type="dxa"/>
            <w:vAlign w:val="center"/>
          </w:tcPr>
          <w:p w14:paraId="4F63BF9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曳引轮槽</w:t>
            </w:r>
          </w:p>
        </w:tc>
        <w:tc>
          <w:tcPr>
            <w:tcW w:w="4677" w:type="dxa"/>
            <w:noWrap/>
            <w:vAlign w:val="center"/>
          </w:tcPr>
          <w:p w14:paraId="4D20913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磨损量不超过制造单位要求</w:t>
            </w:r>
          </w:p>
        </w:tc>
      </w:tr>
      <w:tr w14:paraId="28CC7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27E521A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34" w:type="dxa"/>
            <w:vAlign w:val="center"/>
          </w:tcPr>
          <w:p w14:paraId="711CE41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制动器动作状态监测装置</w:t>
            </w:r>
          </w:p>
        </w:tc>
        <w:tc>
          <w:tcPr>
            <w:tcW w:w="4677" w:type="dxa"/>
            <w:noWrap/>
            <w:vAlign w:val="center"/>
          </w:tcPr>
          <w:p w14:paraId="7EC3410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工作正常，制动器动作可靠</w:t>
            </w:r>
          </w:p>
        </w:tc>
      </w:tr>
      <w:tr w14:paraId="6AD3F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0EAB105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34" w:type="dxa"/>
            <w:vAlign w:val="center"/>
          </w:tcPr>
          <w:p w14:paraId="727D824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控制柜内各接线端子</w:t>
            </w:r>
          </w:p>
        </w:tc>
        <w:tc>
          <w:tcPr>
            <w:tcW w:w="4677" w:type="dxa"/>
            <w:noWrap/>
            <w:vAlign w:val="center"/>
          </w:tcPr>
          <w:p w14:paraId="23BD284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各接线紧固、整齐，线号齐全清晰</w:t>
            </w:r>
          </w:p>
        </w:tc>
      </w:tr>
      <w:tr w14:paraId="416FF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416D8B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34" w:type="dxa"/>
            <w:vAlign w:val="center"/>
          </w:tcPr>
          <w:p w14:paraId="1A6C911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控制柜各仪表</w:t>
            </w:r>
          </w:p>
        </w:tc>
        <w:tc>
          <w:tcPr>
            <w:tcW w:w="4677" w:type="dxa"/>
            <w:noWrap/>
            <w:vAlign w:val="center"/>
          </w:tcPr>
          <w:p w14:paraId="7D90C04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显示正常</w:t>
            </w:r>
          </w:p>
        </w:tc>
      </w:tr>
      <w:tr w14:paraId="0EBC0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0FAF4B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634" w:type="dxa"/>
            <w:vAlign w:val="center"/>
          </w:tcPr>
          <w:p w14:paraId="0E02A4E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井道、对重、轿顶各反绳轮轴承部</w:t>
            </w:r>
          </w:p>
        </w:tc>
        <w:tc>
          <w:tcPr>
            <w:tcW w:w="4677" w:type="dxa"/>
            <w:noWrap/>
            <w:vAlign w:val="center"/>
          </w:tcPr>
          <w:p w14:paraId="11A6153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无异常声响，无振动，润滑良好</w:t>
            </w:r>
          </w:p>
        </w:tc>
      </w:tr>
      <w:tr w14:paraId="6399A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561F07C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634" w:type="dxa"/>
            <w:vAlign w:val="center"/>
          </w:tcPr>
          <w:p w14:paraId="1A0F043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悬挂装置、补偿绳</w:t>
            </w:r>
          </w:p>
        </w:tc>
        <w:tc>
          <w:tcPr>
            <w:tcW w:w="4677" w:type="dxa"/>
            <w:noWrap/>
            <w:vAlign w:val="center"/>
          </w:tcPr>
          <w:p w14:paraId="1B8C7B8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磨损量、断丝数不超过要求</w:t>
            </w:r>
          </w:p>
        </w:tc>
      </w:tr>
      <w:tr w14:paraId="207A6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1AA7E28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634" w:type="dxa"/>
            <w:vAlign w:val="center"/>
          </w:tcPr>
          <w:p w14:paraId="7853284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绳头组合</w:t>
            </w:r>
          </w:p>
        </w:tc>
        <w:tc>
          <w:tcPr>
            <w:tcW w:w="4677" w:type="dxa"/>
            <w:noWrap/>
            <w:vAlign w:val="center"/>
          </w:tcPr>
          <w:p w14:paraId="4939F46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螺母无松动</w:t>
            </w:r>
          </w:p>
        </w:tc>
      </w:tr>
      <w:tr w14:paraId="4E528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63BB9A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634" w:type="dxa"/>
            <w:vAlign w:val="center"/>
          </w:tcPr>
          <w:p w14:paraId="3C78F32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限速器钢丝绳</w:t>
            </w:r>
          </w:p>
        </w:tc>
        <w:tc>
          <w:tcPr>
            <w:tcW w:w="4677" w:type="dxa"/>
            <w:noWrap/>
            <w:vAlign w:val="center"/>
          </w:tcPr>
          <w:p w14:paraId="56F0966C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磨损量、断丝数不超过制造单位要求</w:t>
            </w:r>
          </w:p>
        </w:tc>
      </w:tr>
      <w:tr w14:paraId="16083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4D5181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634" w:type="dxa"/>
            <w:vAlign w:val="center"/>
          </w:tcPr>
          <w:p w14:paraId="0615ACB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层门、轿门门扇</w:t>
            </w:r>
          </w:p>
        </w:tc>
        <w:tc>
          <w:tcPr>
            <w:tcW w:w="4677" w:type="dxa"/>
            <w:noWrap/>
            <w:vAlign w:val="center"/>
          </w:tcPr>
          <w:p w14:paraId="389DB806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门扇各相关间隙符合标准值</w:t>
            </w:r>
          </w:p>
        </w:tc>
      </w:tr>
      <w:tr w14:paraId="7B62B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621D602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634" w:type="dxa"/>
            <w:vAlign w:val="center"/>
          </w:tcPr>
          <w:p w14:paraId="68CB2E2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轿门开门限制装置</w:t>
            </w:r>
          </w:p>
        </w:tc>
        <w:tc>
          <w:tcPr>
            <w:tcW w:w="4677" w:type="dxa"/>
            <w:noWrap/>
            <w:vAlign w:val="center"/>
          </w:tcPr>
          <w:p w14:paraId="6C72266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73872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4B4742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634" w:type="dxa"/>
            <w:vAlign w:val="center"/>
          </w:tcPr>
          <w:p w14:paraId="55209D7E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对重缓冲距离</w:t>
            </w:r>
          </w:p>
        </w:tc>
        <w:tc>
          <w:tcPr>
            <w:tcW w:w="4677" w:type="dxa"/>
            <w:noWrap/>
            <w:vAlign w:val="center"/>
          </w:tcPr>
          <w:p w14:paraId="0089A77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符合标准值</w:t>
            </w:r>
          </w:p>
        </w:tc>
      </w:tr>
      <w:tr w14:paraId="2EE010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97" w:hRule="atLeast"/>
          <w:jc w:val="center"/>
        </w:trPr>
        <w:tc>
          <w:tcPr>
            <w:tcW w:w="756" w:type="dxa"/>
            <w:noWrap/>
            <w:vAlign w:val="center"/>
          </w:tcPr>
          <w:p w14:paraId="39DFD6D4">
            <w:pPr>
              <w:widowControl/>
              <w:adjustRightIn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634" w:type="dxa"/>
            <w:vAlign w:val="center"/>
          </w:tcPr>
          <w:p w14:paraId="137FB10A">
            <w:pPr>
              <w:widowControl/>
              <w:adjustRightInd w:val="0"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补偿链（绳）与轿厢、对重接合处</w:t>
            </w:r>
          </w:p>
        </w:tc>
        <w:tc>
          <w:tcPr>
            <w:tcW w:w="4677" w:type="dxa"/>
            <w:noWrap/>
            <w:vAlign w:val="center"/>
          </w:tcPr>
          <w:p w14:paraId="174C2792">
            <w:pPr>
              <w:widowControl/>
              <w:adjustRightInd w:val="0"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固定、无松动</w:t>
            </w:r>
          </w:p>
        </w:tc>
      </w:tr>
      <w:tr w14:paraId="1B3B6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56" w:type="dxa"/>
            <w:tcBorders>
              <w:bottom w:val="single" w:color="auto" w:sz="12" w:space="0"/>
            </w:tcBorders>
            <w:noWrap/>
            <w:vAlign w:val="center"/>
          </w:tcPr>
          <w:p w14:paraId="1CD717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634" w:type="dxa"/>
            <w:tcBorders>
              <w:bottom w:val="single" w:color="auto" w:sz="12" w:space="0"/>
            </w:tcBorders>
            <w:vAlign w:val="center"/>
          </w:tcPr>
          <w:p w14:paraId="35B1320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上下极限开关</w:t>
            </w:r>
          </w:p>
        </w:tc>
        <w:tc>
          <w:tcPr>
            <w:tcW w:w="4677" w:type="dxa"/>
            <w:tcBorders>
              <w:bottom w:val="single" w:color="auto" w:sz="12" w:space="0"/>
            </w:tcBorders>
            <w:noWrap/>
            <w:vAlign w:val="center"/>
          </w:tcPr>
          <w:p w14:paraId="3B59A67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</w:tbl>
    <w:p w14:paraId="5994BF6A">
      <w:pPr>
        <w:adjustRightInd w:val="0"/>
        <w:snapToGrid w:val="0"/>
        <w:spacing w:line="360" w:lineRule="auto"/>
        <w:ind w:firstLine="80" w:firstLineChars="200"/>
        <w:rPr>
          <w:rFonts w:hint="eastAsia" w:asciiTheme="minorEastAsia" w:hAnsiTheme="minorEastAsia" w:eastAsiaTheme="minorEastAsia" w:cstheme="minorEastAsia"/>
          <w:kern w:val="0"/>
          <w:sz w:val="4"/>
          <w:szCs w:val="18"/>
        </w:rPr>
      </w:pPr>
    </w:p>
    <w:p w14:paraId="5630705F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</w:pPr>
    </w:p>
    <w:p w14:paraId="583BDDFA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kern w:val="0"/>
          <w:sz w:val="18"/>
          <w:szCs w:val="18"/>
        </w:rPr>
        <w:t xml:space="preserve">A4  年度维护保养项目（内容）和要求 </w:t>
      </w:r>
    </w:p>
    <w:p w14:paraId="1173DF8D"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年度维护保养项目（内容）和要求除符合A3半年度维护保养的项目（内容）和要求外，还应当符合表A-4的项目（内容）和要求外，还应当符合表A-4的项目（内容）和要求。</w:t>
      </w:r>
    </w:p>
    <w:p w14:paraId="049A37EF">
      <w:pPr>
        <w:adjustRightInd w:val="0"/>
        <w:snapToGrid w:val="0"/>
        <w:spacing w:line="360" w:lineRule="auto"/>
        <w:jc w:val="center"/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kern w:val="0"/>
          <w:sz w:val="18"/>
          <w:szCs w:val="18"/>
        </w:rPr>
        <w:t>表A-4 年度维护保养项目（内容）和要求</w:t>
      </w:r>
    </w:p>
    <w:tbl>
      <w:tblPr>
        <w:tblStyle w:val="7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675"/>
        <w:gridCol w:w="4790"/>
      </w:tblGrid>
      <w:tr w14:paraId="7457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top w:val="single" w:color="auto" w:sz="12" w:space="0"/>
              <w:left w:val="single" w:color="auto" w:sz="12" w:space="0"/>
            </w:tcBorders>
            <w:noWrap/>
          </w:tcPr>
          <w:p w14:paraId="7D3BBAB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3675" w:type="dxa"/>
            <w:tcBorders>
              <w:top w:val="single" w:color="auto" w:sz="12" w:space="0"/>
            </w:tcBorders>
          </w:tcPr>
          <w:p w14:paraId="475DA90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维护保养项目（内容）</w:t>
            </w:r>
          </w:p>
        </w:tc>
        <w:tc>
          <w:tcPr>
            <w:tcW w:w="4790" w:type="dxa"/>
            <w:tcBorders>
              <w:top w:val="single" w:color="auto" w:sz="12" w:space="0"/>
              <w:right w:val="single" w:color="auto" w:sz="12" w:space="0"/>
            </w:tcBorders>
            <w:noWrap/>
          </w:tcPr>
          <w:p w14:paraId="744D8C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维护保养基本要求</w:t>
            </w:r>
          </w:p>
        </w:tc>
      </w:tr>
      <w:tr w14:paraId="456D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25F5DA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75" w:type="dxa"/>
          </w:tcPr>
          <w:p w14:paraId="549E652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减速机润滑油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0E43530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按照制造单位要求适时更换，保证油质符合要求</w:t>
            </w:r>
          </w:p>
        </w:tc>
      </w:tr>
      <w:tr w14:paraId="7B442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580F19E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75" w:type="dxa"/>
          </w:tcPr>
          <w:p w14:paraId="7F61BFB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控制柜接触器、继电器触点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5219A6D1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接触良好</w:t>
            </w:r>
          </w:p>
        </w:tc>
      </w:tr>
      <w:tr w14:paraId="2EFCD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307AC71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75" w:type="dxa"/>
          </w:tcPr>
          <w:p w14:paraId="71BC82D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制动器铁芯（柱塞）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5E916AF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进行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清洁、润滑、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检查，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磨损量不超过制造单位要求</w:t>
            </w:r>
          </w:p>
        </w:tc>
      </w:tr>
      <w:tr w14:paraId="2B0C5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1A8E9FA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75" w:type="dxa"/>
          </w:tcPr>
          <w:p w14:paraId="31D2BB3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制动器制动能力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1E12838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符合制造单位要求，保持有足够的制动力，必要时进行轿厢装载125%额定载重量的制动试验</w:t>
            </w:r>
          </w:p>
        </w:tc>
      </w:tr>
      <w:tr w14:paraId="771AD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7A9C6EF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75" w:type="dxa"/>
          </w:tcPr>
          <w:p w14:paraId="200CC93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导电回路绝缘性能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测试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38F0134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符合标准</w:t>
            </w:r>
          </w:p>
        </w:tc>
      </w:tr>
      <w:tr w14:paraId="47C90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0A5ED9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75" w:type="dxa"/>
          </w:tcPr>
          <w:p w14:paraId="4EBFDFEA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限速器安全钳联动试验（对于使用年限不超过15年的限速器，每2年进行一次限速器动作速度校验；对于使用年限超过15年的限速器，每年进行一次限速器动作速度校验）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27EFFC0B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29BD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13CF0FC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675" w:type="dxa"/>
          </w:tcPr>
          <w:p w14:paraId="6F3E98B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上行超速保护装置动作试验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1DDC185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1282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6B884BF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675" w:type="dxa"/>
          </w:tcPr>
          <w:p w14:paraId="158F3F4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轿厢意外移动保护装置动作试验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52F29D0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工作正常</w:t>
            </w:r>
          </w:p>
        </w:tc>
      </w:tr>
      <w:tr w14:paraId="2FD8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noWrap/>
          </w:tcPr>
          <w:p w14:paraId="27EACEF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675" w:type="dxa"/>
          </w:tcPr>
          <w:p w14:paraId="45C6431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轿顶、轿厢架、轿门及其附件安装螺栓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49A3C090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紧固</w:t>
            </w:r>
          </w:p>
        </w:tc>
      </w:tr>
      <w:tr w14:paraId="47247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458B9F0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10</w:t>
            </w:r>
          </w:p>
        </w:tc>
        <w:tc>
          <w:tcPr>
            <w:tcW w:w="3675" w:type="dxa"/>
          </w:tcPr>
          <w:p w14:paraId="374AC7C4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轿厢和对重/平衡重的导轨支架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2965570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 xml:space="preserve">固定，无松动 </w:t>
            </w:r>
          </w:p>
        </w:tc>
      </w:tr>
      <w:tr w14:paraId="5573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1FF182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11</w:t>
            </w:r>
          </w:p>
        </w:tc>
        <w:tc>
          <w:tcPr>
            <w:tcW w:w="3675" w:type="dxa"/>
          </w:tcPr>
          <w:p w14:paraId="44B197CA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轿厢和对重</w:t>
            </w: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18"/>
                <w:szCs w:val="18"/>
              </w:rPr>
              <w:t>/平衡重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的导轨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34771C35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清洁，压板牢固</w:t>
            </w:r>
          </w:p>
        </w:tc>
      </w:tr>
      <w:tr w14:paraId="4CA3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267597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675" w:type="dxa"/>
          </w:tcPr>
          <w:p w14:paraId="10927A5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随行电缆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5679F3B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无损伤</w:t>
            </w:r>
          </w:p>
        </w:tc>
      </w:tr>
      <w:tr w14:paraId="4EB6C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3C8C52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675" w:type="dxa"/>
          </w:tcPr>
          <w:p w14:paraId="6D9AEB0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层门装置和地坎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06A50098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无影响正常使用的变形，各安装螺栓紧固</w:t>
            </w:r>
          </w:p>
        </w:tc>
      </w:tr>
      <w:tr w14:paraId="61E3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3436B5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675" w:type="dxa"/>
          </w:tcPr>
          <w:p w14:paraId="15436F27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轿厢称重装置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42C703B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准确有效</w:t>
            </w:r>
          </w:p>
        </w:tc>
      </w:tr>
      <w:tr w14:paraId="63C0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2BE92B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675" w:type="dxa"/>
          </w:tcPr>
          <w:p w14:paraId="5F95CD02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安全钳钳座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3A4D935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固定，无松动</w:t>
            </w:r>
          </w:p>
        </w:tc>
      </w:tr>
      <w:tr w14:paraId="023F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</w:tcBorders>
            <w:noWrap/>
          </w:tcPr>
          <w:p w14:paraId="2B229A4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675" w:type="dxa"/>
          </w:tcPr>
          <w:p w14:paraId="69A39299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轿底各安装螺栓</w:t>
            </w:r>
          </w:p>
        </w:tc>
        <w:tc>
          <w:tcPr>
            <w:tcW w:w="4790" w:type="dxa"/>
            <w:tcBorders>
              <w:right w:val="single" w:color="auto" w:sz="12" w:space="0"/>
            </w:tcBorders>
            <w:noWrap/>
          </w:tcPr>
          <w:p w14:paraId="71A53E2D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紧固</w:t>
            </w:r>
          </w:p>
        </w:tc>
      </w:tr>
      <w:tr w14:paraId="356F8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5" w:type="dxa"/>
            <w:tcBorders>
              <w:left w:val="single" w:color="auto" w:sz="12" w:space="0"/>
              <w:bottom w:val="single" w:color="auto" w:sz="12" w:space="0"/>
            </w:tcBorders>
            <w:noWrap/>
          </w:tcPr>
          <w:p w14:paraId="7C727A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675" w:type="dxa"/>
            <w:tcBorders>
              <w:bottom w:val="single" w:color="auto" w:sz="12" w:space="0"/>
            </w:tcBorders>
          </w:tcPr>
          <w:p w14:paraId="2136112F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缓冲器</w:t>
            </w:r>
          </w:p>
        </w:tc>
        <w:tc>
          <w:tcPr>
            <w:tcW w:w="4790" w:type="dxa"/>
            <w:tcBorders>
              <w:bottom w:val="single" w:color="auto" w:sz="12" w:space="0"/>
              <w:right w:val="single" w:color="auto" w:sz="12" w:space="0"/>
            </w:tcBorders>
            <w:noWrap/>
          </w:tcPr>
          <w:p w14:paraId="7CD65C23">
            <w:pPr>
              <w:widowControl/>
              <w:spacing w:line="276" w:lineRule="auto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固定，无松动</w:t>
            </w:r>
          </w:p>
        </w:tc>
      </w:tr>
    </w:tbl>
    <w:p w14:paraId="5A8B68B1">
      <w:pPr>
        <w:widowControl/>
        <w:jc w:val="left"/>
        <w:rPr>
          <w:rFonts w:hint="eastAsia" w:asciiTheme="minorEastAsia" w:hAnsiTheme="minorEastAsia" w:eastAsiaTheme="minorEastAsia" w:cstheme="minorEastAsia"/>
          <w:kern w:val="0"/>
          <w:sz w:val="8"/>
          <w:szCs w:val="18"/>
        </w:rPr>
      </w:pPr>
    </w:p>
    <w:p w14:paraId="1EB77858">
      <w:pPr>
        <w:pStyle w:val="3"/>
        <w:adjustRightInd w:val="0"/>
        <w:snapToGrid w:val="0"/>
        <w:ind w:left="0" w:leftChars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</w:t>
      </w:r>
    </w:p>
    <w:p w14:paraId="75AD10B8">
      <w:pPr>
        <w:pStyle w:val="3"/>
        <w:adjustRightInd w:val="0"/>
        <w:snapToGrid w:val="0"/>
        <w:ind w:leftChars="0" w:firstLine="360" w:firstLineChars="20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注A-1：如果某些电梯没有表中的项目（内容），如有的电梯不含有某种部件，项目（内容）可适当进行调整（下同）。</w:t>
      </w:r>
    </w:p>
    <w:p w14:paraId="2EA7122C">
      <w:pPr>
        <w:pStyle w:val="3"/>
        <w:adjustRightInd w:val="0"/>
        <w:snapToGrid w:val="0"/>
        <w:ind w:left="0" w:leftChars="0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注A-2：维护保养项目（内容）和要求中对测试、试验有明确规定的，应当按照规定进行测试、试验，没有明确规定的，一般为检查、调整、清洁和润滑（下同）。</w:t>
      </w:r>
    </w:p>
    <w:p w14:paraId="064F1C7C">
      <w:pPr>
        <w:widowControl/>
        <w:spacing w:line="360" w:lineRule="auto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注A-3：维护保养基本要求中，规定为“符合标准值”的，是指符合对应的国家标准、行业标准和制造单位要求（下同）。</w:t>
      </w:r>
    </w:p>
    <w:p w14:paraId="4251D982">
      <w:pPr>
        <w:widowControl/>
        <w:spacing w:line="360" w:lineRule="auto"/>
        <w:ind w:firstLine="640" w:firstLineChars="356"/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注A-4：维护保养基本要求中，规定为“制造单位要求”的，按照制造单位的要求，其他没有明确“要求”的，应当为安全技术规范、标准或者制造单位等的要求（下同）。</w:t>
      </w:r>
    </w:p>
    <w:p w14:paraId="0AAA5DB3">
      <w:pPr>
        <w:widowControl/>
        <w:jc w:val="left"/>
        <w:rPr>
          <w:rFonts w:hint="default" w:ascii="宋体" w:hAnsi="宋体" w:cs="Calibri"/>
          <w:color w:val="000000"/>
          <w:szCs w:val="21"/>
          <w:lang w:val="en-US" w:eastAsia="zh-CN"/>
        </w:rPr>
      </w:pPr>
    </w:p>
    <w:sectPr>
      <w:pgSz w:w="11906" w:h="16838"/>
      <w:pgMar w:top="873" w:right="669" w:bottom="873" w:left="66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U3ZTNhMTM2MzIwNmQ0NTI1OWIzMjM2OWMwMzkifQ=="/>
  </w:docVars>
  <w:rsids>
    <w:rsidRoot w:val="00374D45"/>
    <w:rsid w:val="0000339A"/>
    <w:rsid w:val="00022365"/>
    <w:rsid w:val="0006118F"/>
    <w:rsid w:val="00064621"/>
    <w:rsid w:val="00066BBF"/>
    <w:rsid w:val="00071C06"/>
    <w:rsid w:val="000739C9"/>
    <w:rsid w:val="000A717F"/>
    <w:rsid w:val="00110064"/>
    <w:rsid w:val="00171DF1"/>
    <w:rsid w:val="0017552E"/>
    <w:rsid w:val="001A4134"/>
    <w:rsid w:val="001C0CF5"/>
    <w:rsid w:val="001D5667"/>
    <w:rsid w:val="001F636E"/>
    <w:rsid w:val="00202A8D"/>
    <w:rsid w:val="002120C7"/>
    <w:rsid w:val="00245405"/>
    <w:rsid w:val="00256513"/>
    <w:rsid w:val="0026756D"/>
    <w:rsid w:val="00296FA1"/>
    <w:rsid w:val="002A2CA2"/>
    <w:rsid w:val="002B0249"/>
    <w:rsid w:val="002B6583"/>
    <w:rsid w:val="002C0C25"/>
    <w:rsid w:val="002D02AA"/>
    <w:rsid w:val="002D1FCF"/>
    <w:rsid w:val="002F46FA"/>
    <w:rsid w:val="003055DE"/>
    <w:rsid w:val="0031271F"/>
    <w:rsid w:val="00321B4F"/>
    <w:rsid w:val="00324C8D"/>
    <w:rsid w:val="00325B9F"/>
    <w:rsid w:val="00327985"/>
    <w:rsid w:val="00337979"/>
    <w:rsid w:val="0034034A"/>
    <w:rsid w:val="00372EB3"/>
    <w:rsid w:val="00374D45"/>
    <w:rsid w:val="00382483"/>
    <w:rsid w:val="00396E46"/>
    <w:rsid w:val="003F41B8"/>
    <w:rsid w:val="00484F41"/>
    <w:rsid w:val="00490EFF"/>
    <w:rsid w:val="004A5D44"/>
    <w:rsid w:val="004A7228"/>
    <w:rsid w:val="004B63EE"/>
    <w:rsid w:val="004D061A"/>
    <w:rsid w:val="004D7F0C"/>
    <w:rsid w:val="004E4294"/>
    <w:rsid w:val="00544A54"/>
    <w:rsid w:val="00567E18"/>
    <w:rsid w:val="00581E0E"/>
    <w:rsid w:val="00585C5D"/>
    <w:rsid w:val="005A23D6"/>
    <w:rsid w:val="005A40F4"/>
    <w:rsid w:val="005C0F47"/>
    <w:rsid w:val="005F04C0"/>
    <w:rsid w:val="005F3F0D"/>
    <w:rsid w:val="005F763D"/>
    <w:rsid w:val="00623FE5"/>
    <w:rsid w:val="006305E4"/>
    <w:rsid w:val="00634A8A"/>
    <w:rsid w:val="006609D2"/>
    <w:rsid w:val="00663FA0"/>
    <w:rsid w:val="00697379"/>
    <w:rsid w:val="006B1786"/>
    <w:rsid w:val="006B3C2A"/>
    <w:rsid w:val="006C38AE"/>
    <w:rsid w:val="006C6411"/>
    <w:rsid w:val="006D2D20"/>
    <w:rsid w:val="006E2762"/>
    <w:rsid w:val="006F32D4"/>
    <w:rsid w:val="00756192"/>
    <w:rsid w:val="007575B5"/>
    <w:rsid w:val="0076137E"/>
    <w:rsid w:val="00797BC1"/>
    <w:rsid w:val="007A115F"/>
    <w:rsid w:val="007C5D63"/>
    <w:rsid w:val="007C79FA"/>
    <w:rsid w:val="007D2F7A"/>
    <w:rsid w:val="007D5211"/>
    <w:rsid w:val="007F6DBF"/>
    <w:rsid w:val="00817961"/>
    <w:rsid w:val="00836E6C"/>
    <w:rsid w:val="008422DE"/>
    <w:rsid w:val="00894AEB"/>
    <w:rsid w:val="008B3020"/>
    <w:rsid w:val="008C050F"/>
    <w:rsid w:val="008E1A9F"/>
    <w:rsid w:val="00925852"/>
    <w:rsid w:val="00926D01"/>
    <w:rsid w:val="00960811"/>
    <w:rsid w:val="00970930"/>
    <w:rsid w:val="009714C2"/>
    <w:rsid w:val="0098032B"/>
    <w:rsid w:val="00980CA7"/>
    <w:rsid w:val="00985BA0"/>
    <w:rsid w:val="00986081"/>
    <w:rsid w:val="009B1433"/>
    <w:rsid w:val="009C77F5"/>
    <w:rsid w:val="009D0B1D"/>
    <w:rsid w:val="00A2379C"/>
    <w:rsid w:val="00A32BAE"/>
    <w:rsid w:val="00A454E5"/>
    <w:rsid w:val="00A672A6"/>
    <w:rsid w:val="00A853FA"/>
    <w:rsid w:val="00A9173E"/>
    <w:rsid w:val="00AA4C4D"/>
    <w:rsid w:val="00AC2EAD"/>
    <w:rsid w:val="00AD7CF1"/>
    <w:rsid w:val="00B01082"/>
    <w:rsid w:val="00B2297A"/>
    <w:rsid w:val="00B25807"/>
    <w:rsid w:val="00B309FC"/>
    <w:rsid w:val="00B4362D"/>
    <w:rsid w:val="00B70955"/>
    <w:rsid w:val="00B8492A"/>
    <w:rsid w:val="00BA0894"/>
    <w:rsid w:val="00BA5F33"/>
    <w:rsid w:val="00BB15F9"/>
    <w:rsid w:val="00BC56DD"/>
    <w:rsid w:val="00BD2FD1"/>
    <w:rsid w:val="00C14306"/>
    <w:rsid w:val="00C216F0"/>
    <w:rsid w:val="00C2403A"/>
    <w:rsid w:val="00C2543D"/>
    <w:rsid w:val="00C36F6F"/>
    <w:rsid w:val="00C45E2B"/>
    <w:rsid w:val="00C57632"/>
    <w:rsid w:val="00C600AE"/>
    <w:rsid w:val="00C61089"/>
    <w:rsid w:val="00C61669"/>
    <w:rsid w:val="00C64D20"/>
    <w:rsid w:val="00C70871"/>
    <w:rsid w:val="00C97977"/>
    <w:rsid w:val="00CE2022"/>
    <w:rsid w:val="00D0272B"/>
    <w:rsid w:val="00D0530B"/>
    <w:rsid w:val="00D107A1"/>
    <w:rsid w:val="00D16724"/>
    <w:rsid w:val="00D2160F"/>
    <w:rsid w:val="00D31909"/>
    <w:rsid w:val="00D3612C"/>
    <w:rsid w:val="00D403EC"/>
    <w:rsid w:val="00D41EE9"/>
    <w:rsid w:val="00D42384"/>
    <w:rsid w:val="00D55B26"/>
    <w:rsid w:val="00D67C1D"/>
    <w:rsid w:val="00D84A1A"/>
    <w:rsid w:val="00D86A71"/>
    <w:rsid w:val="00D86FAC"/>
    <w:rsid w:val="00D90639"/>
    <w:rsid w:val="00D95614"/>
    <w:rsid w:val="00D966E3"/>
    <w:rsid w:val="00DA2210"/>
    <w:rsid w:val="00DA611E"/>
    <w:rsid w:val="00DF5488"/>
    <w:rsid w:val="00E05860"/>
    <w:rsid w:val="00E51BD4"/>
    <w:rsid w:val="00E52CDF"/>
    <w:rsid w:val="00E54584"/>
    <w:rsid w:val="00E65193"/>
    <w:rsid w:val="00E714F5"/>
    <w:rsid w:val="00E767C0"/>
    <w:rsid w:val="00E84B64"/>
    <w:rsid w:val="00E873E9"/>
    <w:rsid w:val="00EB440C"/>
    <w:rsid w:val="00EC6F75"/>
    <w:rsid w:val="00ED6E6F"/>
    <w:rsid w:val="00EE34B2"/>
    <w:rsid w:val="00EF1AD3"/>
    <w:rsid w:val="00F36EB5"/>
    <w:rsid w:val="00FA7BDF"/>
    <w:rsid w:val="00FF703E"/>
    <w:rsid w:val="011912AD"/>
    <w:rsid w:val="018C3F93"/>
    <w:rsid w:val="021C34D1"/>
    <w:rsid w:val="03167EB5"/>
    <w:rsid w:val="03236F7D"/>
    <w:rsid w:val="039447DF"/>
    <w:rsid w:val="045222E8"/>
    <w:rsid w:val="067D0163"/>
    <w:rsid w:val="069B5DB1"/>
    <w:rsid w:val="06C0230E"/>
    <w:rsid w:val="0786391D"/>
    <w:rsid w:val="08A77C23"/>
    <w:rsid w:val="0911242E"/>
    <w:rsid w:val="0A4A7BDE"/>
    <w:rsid w:val="0A8B2F77"/>
    <w:rsid w:val="0B3F1E95"/>
    <w:rsid w:val="0BD06F01"/>
    <w:rsid w:val="0C5A01FA"/>
    <w:rsid w:val="0C6B4203"/>
    <w:rsid w:val="0DDF0D4D"/>
    <w:rsid w:val="111849DD"/>
    <w:rsid w:val="13C13F57"/>
    <w:rsid w:val="146976A4"/>
    <w:rsid w:val="15B81098"/>
    <w:rsid w:val="15D407BE"/>
    <w:rsid w:val="17DB70A1"/>
    <w:rsid w:val="195A3014"/>
    <w:rsid w:val="19C305CA"/>
    <w:rsid w:val="1B9735A7"/>
    <w:rsid w:val="1CF673EB"/>
    <w:rsid w:val="1D283A79"/>
    <w:rsid w:val="1D7E30D6"/>
    <w:rsid w:val="1DA11B7B"/>
    <w:rsid w:val="1DE57AA4"/>
    <w:rsid w:val="1E2C58E8"/>
    <w:rsid w:val="1EFF746A"/>
    <w:rsid w:val="1F490D72"/>
    <w:rsid w:val="1F834F63"/>
    <w:rsid w:val="21C0146C"/>
    <w:rsid w:val="22461706"/>
    <w:rsid w:val="2279751A"/>
    <w:rsid w:val="23024E6A"/>
    <w:rsid w:val="2347364E"/>
    <w:rsid w:val="25ED6E85"/>
    <w:rsid w:val="27536A16"/>
    <w:rsid w:val="28FF1008"/>
    <w:rsid w:val="2A113FD6"/>
    <w:rsid w:val="2AF675BC"/>
    <w:rsid w:val="2BF03486"/>
    <w:rsid w:val="2CFE13FD"/>
    <w:rsid w:val="2D237418"/>
    <w:rsid w:val="2D737AED"/>
    <w:rsid w:val="2D955846"/>
    <w:rsid w:val="2F93273C"/>
    <w:rsid w:val="3091782D"/>
    <w:rsid w:val="310C4884"/>
    <w:rsid w:val="31B05875"/>
    <w:rsid w:val="31D67B45"/>
    <w:rsid w:val="31FE6C42"/>
    <w:rsid w:val="33F86C7D"/>
    <w:rsid w:val="34255F5C"/>
    <w:rsid w:val="35870161"/>
    <w:rsid w:val="35ED19A9"/>
    <w:rsid w:val="373A3A99"/>
    <w:rsid w:val="374277F9"/>
    <w:rsid w:val="395858C9"/>
    <w:rsid w:val="39AF3066"/>
    <w:rsid w:val="39F3558E"/>
    <w:rsid w:val="3A291376"/>
    <w:rsid w:val="3A543EAD"/>
    <w:rsid w:val="3D0134BF"/>
    <w:rsid w:val="3E30740D"/>
    <w:rsid w:val="3F161F71"/>
    <w:rsid w:val="413A3AD5"/>
    <w:rsid w:val="41646581"/>
    <w:rsid w:val="4196004F"/>
    <w:rsid w:val="424B0F73"/>
    <w:rsid w:val="44EE1EA7"/>
    <w:rsid w:val="4577777F"/>
    <w:rsid w:val="464E0BD6"/>
    <w:rsid w:val="47266D94"/>
    <w:rsid w:val="475267E9"/>
    <w:rsid w:val="47A879D2"/>
    <w:rsid w:val="484A3674"/>
    <w:rsid w:val="48E34D52"/>
    <w:rsid w:val="49403A07"/>
    <w:rsid w:val="4A9007CC"/>
    <w:rsid w:val="4ACE61B5"/>
    <w:rsid w:val="4AF6062E"/>
    <w:rsid w:val="4B5C440F"/>
    <w:rsid w:val="4C084FF8"/>
    <w:rsid w:val="4C251FB6"/>
    <w:rsid w:val="4C5140F1"/>
    <w:rsid w:val="4E203909"/>
    <w:rsid w:val="4EE000A5"/>
    <w:rsid w:val="4F8C09C6"/>
    <w:rsid w:val="50835464"/>
    <w:rsid w:val="51833671"/>
    <w:rsid w:val="525E5C9A"/>
    <w:rsid w:val="534F55FA"/>
    <w:rsid w:val="53EB60E2"/>
    <w:rsid w:val="552D5D31"/>
    <w:rsid w:val="556734FB"/>
    <w:rsid w:val="59F13BAE"/>
    <w:rsid w:val="5B36349A"/>
    <w:rsid w:val="5F6979E4"/>
    <w:rsid w:val="5F97635E"/>
    <w:rsid w:val="5FDE03A3"/>
    <w:rsid w:val="60F56F96"/>
    <w:rsid w:val="614118B7"/>
    <w:rsid w:val="61A62F10"/>
    <w:rsid w:val="62274279"/>
    <w:rsid w:val="62C15FC9"/>
    <w:rsid w:val="63A66B70"/>
    <w:rsid w:val="654B4CD7"/>
    <w:rsid w:val="65660EA7"/>
    <w:rsid w:val="65F16292"/>
    <w:rsid w:val="66637BBD"/>
    <w:rsid w:val="67C2013C"/>
    <w:rsid w:val="67E35412"/>
    <w:rsid w:val="6A8D4630"/>
    <w:rsid w:val="6B9D10C4"/>
    <w:rsid w:val="6C0D3138"/>
    <w:rsid w:val="6C5D0B04"/>
    <w:rsid w:val="6CCF795D"/>
    <w:rsid w:val="6D1B13AA"/>
    <w:rsid w:val="6DFF3B26"/>
    <w:rsid w:val="6E1F6187"/>
    <w:rsid w:val="6E740012"/>
    <w:rsid w:val="6ED10244"/>
    <w:rsid w:val="6F293F2E"/>
    <w:rsid w:val="70874F2B"/>
    <w:rsid w:val="7139401D"/>
    <w:rsid w:val="745F6226"/>
    <w:rsid w:val="759C2111"/>
    <w:rsid w:val="77321D19"/>
    <w:rsid w:val="78E55F35"/>
    <w:rsid w:val="791A5BDE"/>
    <w:rsid w:val="7960488E"/>
    <w:rsid w:val="7A15312E"/>
    <w:rsid w:val="7A4D6F52"/>
    <w:rsid w:val="7B110219"/>
    <w:rsid w:val="7C92510C"/>
    <w:rsid w:val="7CC3730B"/>
    <w:rsid w:val="7E1A60DB"/>
    <w:rsid w:val="7EEB03EA"/>
    <w:rsid w:val="7FF4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ody Text Indent"/>
    <w:basedOn w:val="1"/>
    <w:qFormat/>
    <w:uiPriority w:val="99"/>
    <w:pPr>
      <w:spacing w:line="360" w:lineRule="auto"/>
      <w:ind w:left="359" w:leftChars="171"/>
    </w:pPr>
    <w:rPr>
      <w:rFonts w:ascii="宋体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qFormat/>
    <w:uiPriority w:val="0"/>
    <w:rPr>
      <w:sz w:val="21"/>
    </w:rPr>
  </w:style>
  <w:style w:type="character" w:customStyle="1" w:styleId="11">
    <w:name w:val="批注文字 字符"/>
    <w:basedOn w:val="9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2">
    <w:name w:val="批注文字 Char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Body text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6586-10AB-4CEC-9D29-3D514FEE24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3590</Words>
  <Characters>4437</Characters>
  <Lines>2</Lines>
  <Paragraphs>1</Paragraphs>
  <TotalTime>49</TotalTime>
  <ScaleCrop>false</ScaleCrop>
  <LinksUpToDate>false</LinksUpToDate>
  <CharactersWithSpaces>4563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健</cp:lastModifiedBy>
  <dcterms:modified xsi:type="dcterms:W3CDTF">2026-07-14T02:07:57Z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F8A635E0E848485CAD3A2AF7C08F9527</vt:lpwstr>
  </property>
</Properties>
</file>