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right" w:pos="95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2" w:firstLineChars="200"/>
        <w:jc w:val="center"/>
        <w:textAlignment w:val="auto"/>
        <w:rPr>
          <w:rFonts w:hint="eastAsia" w:ascii="宋体" w:hAnsi="宋体" w:eastAsia="宋体" w:cs="宋体"/>
          <w:b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报价单</w:t>
      </w:r>
    </w:p>
    <w:p>
      <w:pPr>
        <w:keepNext w:val="0"/>
        <w:keepLines w:val="0"/>
        <w:pageBreakBefore w:val="0"/>
        <w:widowControl w:val="0"/>
        <w:tabs>
          <w:tab w:val="right" w:pos="95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jc w:val="center"/>
        <w:textAlignment w:val="auto"/>
        <w:rPr>
          <w:rFonts w:hint="eastAsia" w:ascii="宋体" w:hAnsi="宋体" w:eastAsia="宋体" w:cs="宋体"/>
          <w:b/>
          <w:color w:val="000000"/>
          <w:sz w:val="30"/>
          <w:szCs w:val="30"/>
        </w:rPr>
      </w:pPr>
      <w:r>
        <w:rPr>
          <w:rFonts w:hint="eastAsia" w:ascii="微软雅黑" w:hAnsi="微软雅黑" w:eastAsia="微软雅黑" w:cs="微软雅黑"/>
          <w:spacing w:val="0"/>
          <w:sz w:val="36"/>
          <w:szCs w:val="36"/>
          <w:shd w:val="clear" w:fill="FFFFFF"/>
        </w:rPr>
        <w:t>（附件2）</w:t>
      </w:r>
    </w:p>
    <w:p>
      <w:pPr>
        <w:tabs>
          <w:tab w:val="right" w:pos="9524"/>
        </w:tabs>
        <w:spacing w:line="360" w:lineRule="exact"/>
        <w:rPr>
          <w:rFonts w:hint="eastAsia" w:ascii="宋体" w:hAnsi="宋体" w:eastAsia="宋体" w:cs="宋体"/>
          <w:b/>
          <w:color w:val="000000"/>
          <w:sz w:val="30"/>
          <w:szCs w:val="30"/>
        </w:rPr>
      </w:pPr>
    </w:p>
    <w:p>
      <w:pPr>
        <w:tabs>
          <w:tab w:val="right" w:pos="9524"/>
        </w:tabs>
        <w:spacing w:line="360" w:lineRule="exact"/>
        <w:ind w:firstLine="602" w:firstLineChars="200"/>
        <w:rPr>
          <w:rFonts w:hint="eastAsia" w:ascii="宋体" w:hAnsi="宋体" w:eastAsia="宋体" w:cs="宋体"/>
          <w:b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一、项目名称：广州市番禺区健康管理中心（广州市番禺区康复医院）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/>
        </w:rPr>
        <w:t>关于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发电房外置电源快速接入口配电屏</w:t>
      </w: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采购项目</w:t>
      </w:r>
    </w:p>
    <w:p>
      <w:pPr>
        <w:tabs>
          <w:tab w:val="right" w:pos="9524"/>
        </w:tabs>
        <w:spacing w:line="360" w:lineRule="exact"/>
        <w:ind w:firstLine="602" w:firstLineChars="200"/>
        <w:rPr>
          <w:rFonts w:hint="eastAsia" w:ascii="宋体" w:hAnsi="宋体" w:eastAsia="宋体" w:cs="宋体"/>
          <w:b/>
          <w:color w:val="000000"/>
          <w:sz w:val="30"/>
          <w:szCs w:val="30"/>
        </w:rPr>
      </w:pPr>
    </w:p>
    <w:tbl>
      <w:tblPr>
        <w:tblStyle w:val="10"/>
        <w:tblW w:w="1032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8"/>
        <w:gridCol w:w="2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abs>
                <w:tab w:val="right" w:pos="9524"/>
              </w:tabs>
              <w:spacing w:line="360" w:lineRule="exact"/>
              <w:ind w:firstLine="602" w:firstLineChars="200"/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</w:pPr>
          </w:p>
          <w:p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-723" w:leftChars="0" w:firstLine="723" w:firstLineChars="0"/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  <w:t>项目要求</w:t>
            </w:r>
          </w:p>
          <w:p>
            <w:pPr>
              <w:numPr>
                <w:ilvl w:val="0"/>
                <w:numId w:val="0"/>
              </w:numPr>
              <w:tabs>
                <w:tab w:val="right" w:pos="9524"/>
              </w:tabs>
              <w:spacing w:line="360" w:lineRule="exact"/>
              <w:rPr>
                <w:rFonts w:hint="eastAsia" w:ascii="宋体" w:hAnsi="宋体" w:eastAsia="宋体" w:cs="宋体"/>
                <w:i/>
                <w:i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u w:val="single"/>
                <w:lang w:val="en-US" w:eastAsia="zh-CN"/>
              </w:rPr>
              <w:t>根据2026年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30"/>
                <w:szCs w:val="30"/>
              </w:rPr>
              <w:t>广州市番禺区健康管理中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</w:rPr>
              <w:t>发电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</w:rPr>
              <w:t>房外置电源快速接入口配电屏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30"/>
                <w:szCs w:val="30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30"/>
                <w:szCs w:val="30"/>
              </w:rPr>
              <w:t>心（广州市番禺区康复医院）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</w:rPr>
              <w:t>发电房外置电源快速接入口配电屏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</w:rPr>
              <w:t>承诺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</w:rPr>
              <w:t>提供的服务满足健康管理中心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</w:rPr>
              <w:t>发电房外置电源快速接入口配电屏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0"/>
                <w:szCs w:val="30"/>
              </w:rPr>
              <w:t>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</w:rPr>
              <w:t>求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sz w:val="30"/>
                <w:szCs w:val="30"/>
              </w:rPr>
              <w:t>。</w:t>
            </w:r>
          </w:p>
          <w:p>
            <w:pPr>
              <w:tabs>
                <w:tab w:val="right" w:pos="9524"/>
              </w:tabs>
              <w:spacing w:line="360" w:lineRule="exact"/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sz w:val="30"/>
                <w:szCs w:val="3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、各类证照齐全、合规，经营范围及服务资质完备。</w:t>
            </w:r>
          </w:p>
          <w:p>
            <w:pPr>
              <w:tabs>
                <w:tab w:val="right" w:pos="9524"/>
              </w:tabs>
              <w:spacing w:line="360" w:lineRule="exact"/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3、项目期限：</w:t>
            </w: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从签订合同之日起1个月</w:t>
            </w: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。</w:t>
            </w:r>
          </w:p>
          <w:p>
            <w:pPr>
              <w:tabs>
                <w:tab w:val="right" w:pos="9524"/>
              </w:tabs>
              <w:spacing w:line="360" w:lineRule="exact"/>
              <w:ind w:firstLine="602" w:firstLineChars="201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</w:p>
          <w:p>
            <w:pPr>
              <w:tabs>
                <w:tab w:val="right" w:pos="9524"/>
              </w:tabs>
              <w:spacing w:line="360" w:lineRule="exact"/>
              <w:ind w:firstLine="602" w:firstLineChars="200"/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  <w:lang w:eastAsia="zh-CN"/>
              </w:rPr>
              <w:t>三</w:t>
            </w:r>
            <w:r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  <w:t>、项目内容</w:t>
            </w:r>
          </w:p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</w:rPr>
              <w:t>用途：中心发展需要对设备、供氧、消防、电梯、医用冷链设备不能断电，安装外置应急电源接口是断电兜底保障核心设施。当市电网大面积停电、院内自有发电机故障无法启动时，院内全部供电瘫痪时，市政应急发电车、移动发电机组可直接通过外置标准化接口快速接驳。缩短供电恢复时间，避免隐患发生。二，要求：1、由院3号发电机引线设置配电屏一套，（含电流、电压表、指示灯）。2、设置双电源转换开关800A至1000 A。3、配快插式外置电源插头（数量按供电规范要求），另预留铜牌接线。4、电缆为两条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lang w:val="en-US" w:eastAsia="zh-CN"/>
              </w:rPr>
              <w:t>2(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</w:rPr>
              <w:t>4×240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</w:rPr>
              <w:t>的电缆约10米条已现场为准。5、报价需含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lang w:eastAsia="zh-CN"/>
              </w:rPr>
              <w:t>施工及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</w:rPr>
              <w:t>配件按现场为准。</w:t>
            </w:r>
          </w:p>
          <w:p>
            <w:pPr>
              <w:numPr>
                <w:ilvl w:val="0"/>
                <w:numId w:val="0"/>
              </w:numPr>
              <w:tabs>
                <w:tab w:val="right" w:pos="9524"/>
              </w:tabs>
              <w:spacing w:line="360" w:lineRule="exact"/>
              <w:ind w:left="840" w:leftChars="0"/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  <w:lang w:eastAsia="zh-CN"/>
              </w:rPr>
              <w:t>四、</w:t>
            </w:r>
            <w:r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  <w:t>项目清单</w:t>
            </w:r>
          </w:p>
          <w:p>
            <w:pPr>
              <w:numPr>
                <w:ilvl w:val="0"/>
                <w:numId w:val="0"/>
              </w:numPr>
              <w:tabs>
                <w:tab w:val="right" w:pos="9524"/>
              </w:tabs>
              <w:spacing w:line="360" w:lineRule="exact"/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</w:pPr>
          </w:p>
          <w:tbl>
            <w:tblPr>
              <w:tblStyle w:val="10"/>
              <w:tblW w:w="10303" w:type="dxa"/>
              <w:tblInd w:w="9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00"/>
              <w:gridCol w:w="1588"/>
              <w:gridCol w:w="1965"/>
              <w:gridCol w:w="1248"/>
              <w:gridCol w:w="1239"/>
              <w:gridCol w:w="1263"/>
              <w:gridCol w:w="1406"/>
              <w:gridCol w:w="994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0" w:hRule="atLeast"/>
              </w:trPr>
              <w:tc>
                <w:tcPr>
                  <w:tcW w:w="6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材料(设备)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19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规格型号</w:t>
                  </w: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12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12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单价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Style w:val="16"/>
                      <w:rFonts w:hint="eastAsia" w:ascii="宋体" w:hAnsi="宋体" w:eastAsia="宋体" w:cs="宋体"/>
                      <w:sz w:val="30"/>
                      <w:szCs w:val="30"/>
                      <w:lang w:val="en-US" w:eastAsia="zh-CN" w:bidi="ar"/>
                    </w:rPr>
                    <w:t>(</w:t>
                  </w:r>
                  <w:r>
                    <w:rPr>
                      <w:rStyle w:val="17"/>
                      <w:rFonts w:hint="eastAsia" w:ascii="宋体" w:hAnsi="宋体" w:eastAsia="宋体" w:cs="宋体"/>
                      <w:sz w:val="30"/>
                      <w:szCs w:val="30"/>
                      <w:lang w:val="en-US" w:eastAsia="zh-CN" w:bidi="ar"/>
                    </w:rPr>
                    <w:t>元</w:t>
                  </w:r>
                  <w:r>
                    <w:rPr>
                      <w:rStyle w:val="16"/>
                      <w:rFonts w:hint="eastAsia" w:ascii="宋体" w:hAnsi="宋体" w:eastAsia="宋体" w:cs="宋体"/>
                      <w:sz w:val="30"/>
                      <w:szCs w:val="30"/>
                      <w:lang w:val="en-US" w:eastAsia="zh-CN" w:bidi="ar"/>
                    </w:rPr>
                    <w:t>)</w:t>
                  </w:r>
                </w:p>
              </w:tc>
              <w:tc>
                <w:tcPr>
                  <w:tcW w:w="14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小计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Style w:val="16"/>
                      <w:rFonts w:hint="eastAsia" w:ascii="宋体" w:hAnsi="宋体" w:eastAsia="宋体" w:cs="宋体"/>
                      <w:sz w:val="30"/>
                      <w:szCs w:val="30"/>
                      <w:lang w:val="en-US" w:eastAsia="zh-CN" w:bidi="ar"/>
                    </w:rPr>
                    <w:t>(</w:t>
                  </w:r>
                  <w:r>
                    <w:rPr>
                      <w:rStyle w:val="17"/>
                      <w:rFonts w:hint="eastAsia" w:ascii="宋体" w:hAnsi="宋体" w:eastAsia="宋体" w:cs="宋体"/>
                      <w:sz w:val="30"/>
                      <w:szCs w:val="30"/>
                      <w:lang w:val="en-US" w:eastAsia="zh-CN" w:bidi="ar"/>
                    </w:rPr>
                    <w:t>元</w:t>
                  </w:r>
                  <w:r>
                    <w:rPr>
                      <w:rStyle w:val="16"/>
                      <w:rFonts w:hint="eastAsia" w:ascii="宋体" w:hAnsi="宋体" w:eastAsia="宋体" w:cs="宋体"/>
                      <w:sz w:val="30"/>
                      <w:szCs w:val="30"/>
                      <w:lang w:val="en-US" w:eastAsia="zh-CN" w:bidi="ar"/>
                    </w:rPr>
                    <w:t>)</w:t>
                  </w:r>
                </w:p>
              </w:tc>
              <w:tc>
                <w:tcPr>
                  <w:tcW w:w="9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备注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0" w:hRule="atLeast"/>
              </w:trPr>
              <w:tc>
                <w:tcPr>
                  <w:tcW w:w="6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9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 xml:space="preserve"> </w:t>
                  </w:r>
                </w:p>
              </w:tc>
              <w:tc>
                <w:tcPr>
                  <w:tcW w:w="12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4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9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0" w:hRule="atLeast"/>
              </w:trPr>
              <w:tc>
                <w:tcPr>
                  <w:tcW w:w="6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9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4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9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0" w:hRule="atLeast"/>
              </w:trPr>
              <w:tc>
                <w:tcPr>
                  <w:tcW w:w="6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9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4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9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0" w:hRule="atLeast"/>
              </w:trPr>
              <w:tc>
                <w:tcPr>
                  <w:tcW w:w="6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9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4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9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0" w:hRule="atLeast"/>
              </w:trPr>
              <w:tc>
                <w:tcPr>
                  <w:tcW w:w="6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9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4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9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85" w:hRule="atLeast"/>
              </w:trPr>
              <w:tc>
                <w:tcPr>
                  <w:tcW w:w="5401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30"/>
                      <w:szCs w:val="30"/>
                      <w:u w:val="none"/>
                      <w:lang w:val="en-US" w:eastAsia="zh-CN" w:bidi="ar"/>
                    </w:rPr>
                    <w:t>合计（元）：</w:t>
                  </w:r>
                </w:p>
              </w:tc>
              <w:tc>
                <w:tcPr>
                  <w:tcW w:w="12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12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  <w:tc>
                <w:tcPr>
                  <w:tcW w:w="240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30"/>
                      <w:szCs w:val="30"/>
                      <w:u w:val="none"/>
                    </w:rPr>
                  </w:pPr>
                </w:p>
              </w:tc>
            </w:tr>
          </w:tbl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30"/>
                <w:szCs w:val="30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              供货单位名称（盖章）：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  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        联系电话：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      日期：2026年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月 日</w:t>
            </w:r>
          </w:p>
        </w:tc>
      </w:tr>
    </w:tbl>
    <w:p>
      <w:pPr>
        <w:spacing w:line="360" w:lineRule="exact"/>
        <w:ind w:firstLine="5700" w:firstLineChars="19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</w:p>
    <w:sectPr>
      <w:pgSz w:w="11906" w:h="16838"/>
      <w:pgMar w:top="1440" w:right="850" w:bottom="144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21A71E"/>
    <w:multiLevelType w:val="singleLevel"/>
    <w:tmpl w:val="9A21A71E"/>
    <w:lvl w:ilvl="0" w:tentative="0">
      <w:start w:val="2"/>
      <w:numFmt w:val="chineseCounting"/>
      <w:suff w:val="nothing"/>
      <w:lvlText w:val="%1、"/>
      <w:lvlJc w:val="left"/>
      <w:pPr>
        <w:ind w:left="-72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2NjQ1NjUwY2E0ZjhjYTdmMjBlMDE1N2FjNWNjOGIifQ=="/>
  </w:docVars>
  <w:rsids>
    <w:rsidRoot w:val="00000000"/>
    <w:rsid w:val="006564F6"/>
    <w:rsid w:val="075C7CEB"/>
    <w:rsid w:val="07D64F0D"/>
    <w:rsid w:val="09F5339A"/>
    <w:rsid w:val="0C5F1C9E"/>
    <w:rsid w:val="0F744D79"/>
    <w:rsid w:val="14531352"/>
    <w:rsid w:val="149752BE"/>
    <w:rsid w:val="1B871530"/>
    <w:rsid w:val="1D3C0463"/>
    <w:rsid w:val="1D8C4ED5"/>
    <w:rsid w:val="1E2C3794"/>
    <w:rsid w:val="28084510"/>
    <w:rsid w:val="2C106DFD"/>
    <w:rsid w:val="311E6CF4"/>
    <w:rsid w:val="32F23BFB"/>
    <w:rsid w:val="3CB86AC9"/>
    <w:rsid w:val="3D971A92"/>
    <w:rsid w:val="404C7699"/>
    <w:rsid w:val="45F91D99"/>
    <w:rsid w:val="4AB92C27"/>
    <w:rsid w:val="502B1A29"/>
    <w:rsid w:val="516A4459"/>
    <w:rsid w:val="51B03393"/>
    <w:rsid w:val="536512FD"/>
    <w:rsid w:val="593B020F"/>
    <w:rsid w:val="61005D49"/>
    <w:rsid w:val="693B7800"/>
    <w:rsid w:val="72216CFE"/>
    <w:rsid w:val="74FD6CE6"/>
    <w:rsid w:val="765A60B5"/>
    <w:rsid w:val="78D86E77"/>
    <w:rsid w:val="79F17987"/>
    <w:rsid w:val="7C381F9F"/>
    <w:rsid w:val="7D7A4E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12">
    <w:name w:val="annotation reference"/>
    <w:qFormat/>
    <w:uiPriority w:val="0"/>
    <w:rPr>
      <w:sz w:val="21"/>
    </w:rPr>
  </w:style>
  <w:style w:type="character" w:customStyle="1" w:styleId="13">
    <w:name w:val="批注文字 字符"/>
    <w:basedOn w:val="11"/>
    <w:qFormat/>
    <w:uiPriority w:val="0"/>
    <w:rPr>
      <w:rFonts w:ascii="Times New Roman" w:hAnsi="Times New Roman" w:eastAsia="宋体" w:cs="Times New Roman"/>
      <w:szCs w:val="20"/>
    </w:rPr>
  </w:style>
  <w:style w:type="paragraph" w:styleId="14">
    <w:name w:val="List Paragraph"/>
    <w:basedOn w:val="1"/>
    <w:qFormat/>
    <w:uiPriority w:val="0"/>
    <w:pPr>
      <w:ind w:firstLine="200" w:firstLineChars="200"/>
    </w:pPr>
  </w:style>
  <w:style w:type="paragraph" w:customStyle="1" w:styleId="15">
    <w:name w:val="Body text|1"/>
    <w:basedOn w:val="1"/>
    <w:qFormat/>
    <w:uiPriority w:val="0"/>
    <w:rPr>
      <w:rFonts w:ascii="宋体" w:hAnsi="宋体" w:cs="宋体"/>
      <w:lang w:val="zh-TW" w:eastAsia="zh-TW" w:bidi="zh-TW"/>
    </w:rPr>
  </w:style>
  <w:style w:type="character" w:customStyle="1" w:styleId="16">
    <w:name w:val="font8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7">
    <w:name w:val="font11"/>
    <w:basedOn w:val="11"/>
    <w:qFormat/>
    <w:uiPriority w:val="0"/>
    <w:rPr>
      <w:rFonts w:hint="eastAsia" w:ascii="新宋体" w:hAnsi="新宋体" w:eastAsia="新宋体" w:cs="新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0</Words>
  <Characters>1164</Characters>
  <Lines>0</Lines>
  <Paragraphs>82</Paragraphs>
  <TotalTime>0</TotalTime>
  <ScaleCrop>false</ScaleCrop>
  <LinksUpToDate>false</LinksUpToDate>
  <CharactersWithSpaces>1553</CharactersWithSpaces>
  <Application>WPS Office_11.8.2.10321_F1E327BC-269C-435d-A152-05C5408002CA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2021-03-18T07:17:00Z</dcterms:created>
  <dc:creator>Feng</dc:creator>
  <cp:lastModifiedBy>Administrator</cp:lastModifiedBy>
  <cp:lastPrinted>2023-11-20T09:18:00Z</cp:lastPrinted>
  <dcterms:modified xsi:type="dcterms:W3CDTF">2026-07-14T01:37:52Z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1F32EF12F14D451D953C5A7A15EFC53A_13</vt:lpwstr>
  </property>
</Properties>
</file>